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D0669" w14:textId="77777777" w:rsidR="005309D1" w:rsidRPr="00F60F5E" w:rsidRDefault="005309D1" w:rsidP="00415322">
      <w:pPr>
        <w:jc w:val="center"/>
        <w:rPr>
          <w:b/>
          <w:sz w:val="28"/>
          <w:szCs w:val="28"/>
          <w:lang w:val="en-GB"/>
        </w:rPr>
      </w:pPr>
      <w:r w:rsidRPr="00F60F5E">
        <w:rPr>
          <w:b/>
          <w:sz w:val="28"/>
          <w:szCs w:val="28"/>
          <w:lang w:val="en-GB"/>
        </w:rPr>
        <w:t>INTERNATIONAL ORGANISATION FOR STANDARDISATION</w:t>
      </w:r>
    </w:p>
    <w:p w14:paraId="255BB9A5" w14:textId="77777777" w:rsidR="005309D1" w:rsidRPr="00F60F5E" w:rsidRDefault="005309D1" w:rsidP="005309D1">
      <w:pPr>
        <w:jc w:val="center"/>
        <w:rPr>
          <w:b/>
          <w:sz w:val="28"/>
          <w:lang w:val="en-GB"/>
        </w:rPr>
      </w:pPr>
      <w:r w:rsidRPr="00F60F5E">
        <w:rPr>
          <w:b/>
          <w:sz w:val="28"/>
          <w:lang w:val="en-GB"/>
        </w:rPr>
        <w:t>ORGANISATION INTERNATIONALE DE NORMALISATION</w:t>
      </w:r>
    </w:p>
    <w:p w14:paraId="4AEDBE11" w14:textId="77777777" w:rsidR="005309D1" w:rsidRPr="00F60F5E" w:rsidRDefault="005309D1" w:rsidP="005309D1">
      <w:pPr>
        <w:jc w:val="center"/>
        <w:rPr>
          <w:b/>
          <w:sz w:val="28"/>
          <w:lang w:val="en-GB"/>
        </w:rPr>
      </w:pPr>
      <w:r w:rsidRPr="00F60F5E">
        <w:rPr>
          <w:b/>
          <w:sz w:val="28"/>
          <w:lang w:val="en-GB"/>
        </w:rPr>
        <w:t>ISO/IEC JTC1/SC29/WG11</w:t>
      </w:r>
    </w:p>
    <w:p w14:paraId="1DA164D3" w14:textId="77777777" w:rsidR="005309D1" w:rsidRPr="00F60F5E" w:rsidRDefault="005309D1" w:rsidP="005309D1">
      <w:pPr>
        <w:jc w:val="center"/>
        <w:rPr>
          <w:b/>
          <w:lang w:val="en-GB"/>
        </w:rPr>
      </w:pPr>
      <w:r w:rsidRPr="00F60F5E">
        <w:rPr>
          <w:b/>
          <w:sz w:val="28"/>
          <w:lang w:val="en-GB"/>
        </w:rPr>
        <w:t>CODING OF MOVING PICTURES AND AUDIO</w:t>
      </w:r>
    </w:p>
    <w:p w14:paraId="53A5B38A" w14:textId="77777777" w:rsidR="005309D1" w:rsidRPr="00F60F5E" w:rsidRDefault="005309D1" w:rsidP="005309D1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16E59A83" w14:textId="5DEB134E" w:rsidR="005309D1" w:rsidRPr="00F60F5E" w:rsidRDefault="7CD56BB5" w:rsidP="7CD56BB5">
      <w:pPr>
        <w:jc w:val="right"/>
        <w:rPr>
          <w:b/>
          <w:bCs/>
          <w:highlight w:val="yellow"/>
          <w:lang w:val="en-GB" w:eastAsia="ja-JP"/>
        </w:rPr>
      </w:pPr>
      <w:r w:rsidRPr="7CD56BB5">
        <w:rPr>
          <w:b/>
          <w:bCs/>
          <w:lang w:val="en-GB"/>
        </w:rPr>
        <w:t>ISO/IEC JTC1/SC29/WG11 MPEG2019/</w:t>
      </w:r>
      <w:r w:rsidR="005E5A42" w:rsidRPr="005E5A42">
        <w:rPr>
          <w:b/>
        </w:rPr>
        <w:t>M49179</w:t>
      </w:r>
    </w:p>
    <w:p w14:paraId="01656438" w14:textId="4BC7B522" w:rsidR="005309D1" w:rsidRPr="00F60F5E" w:rsidRDefault="00F635ED" w:rsidP="005309D1">
      <w:pPr>
        <w:wordWrap w:val="0"/>
        <w:jc w:val="right"/>
        <w:rPr>
          <w:rFonts w:eastAsia="Malgun Gothic"/>
          <w:b/>
          <w:lang w:val="en-GB"/>
        </w:rPr>
      </w:pPr>
      <w:r>
        <w:rPr>
          <w:b/>
          <w:lang w:val="en-GB" w:eastAsia="ja-JP"/>
        </w:rPr>
        <w:t>Ju</w:t>
      </w:r>
      <w:r w:rsidR="003A61D4">
        <w:rPr>
          <w:b/>
          <w:lang w:val="en-GB" w:eastAsia="ja-JP"/>
        </w:rPr>
        <w:t>l</w:t>
      </w:r>
      <w:r w:rsidR="00FF17F0">
        <w:rPr>
          <w:b/>
          <w:lang w:val="en-GB" w:eastAsia="ja-JP"/>
        </w:rPr>
        <w:t xml:space="preserve"> 2019</w:t>
      </w:r>
      <w:r w:rsidR="005309D1" w:rsidRPr="00F60F5E">
        <w:rPr>
          <w:rFonts w:eastAsia="Malgun Gothic"/>
          <w:b/>
          <w:lang w:val="en-GB"/>
        </w:rPr>
        <w:t xml:space="preserve">, </w:t>
      </w:r>
      <w:r w:rsidR="003A61D4">
        <w:rPr>
          <w:b/>
          <w:lang w:val="en-GB" w:eastAsia="ja-JP"/>
        </w:rPr>
        <w:t>Göteborg</w:t>
      </w:r>
      <w:r w:rsidR="005309D1" w:rsidRPr="00F60F5E">
        <w:rPr>
          <w:rFonts w:eastAsia="Malgun Gothic"/>
          <w:b/>
          <w:lang w:val="en-GB"/>
        </w:rPr>
        <w:t xml:space="preserve">, </w:t>
      </w:r>
      <w:r w:rsidR="003A61D4">
        <w:rPr>
          <w:b/>
          <w:lang w:val="en-GB" w:eastAsia="ja-JP"/>
        </w:rPr>
        <w:t>Sweden</w:t>
      </w:r>
    </w:p>
    <w:p w14:paraId="29C2568B" w14:textId="77777777" w:rsidR="005309D1" w:rsidRPr="00F60F5E" w:rsidRDefault="005309D1" w:rsidP="005309D1">
      <w:pPr>
        <w:jc w:val="right"/>
        <w:rPr>
          <w:b/>
          <w:lang w:val="en-GB" w:eastAsia="ja-JP"/>
        </w:rPr>
      </w:pPr>
    </w:p>
    <w:p w14:paraId="1F7ECDB1" w14:textId="77777777" w:rsidR="005309D1" w:rsidRPr="00F60F5E" w:rsidRDefault="005309D1" w:rsidP="005309D1">
      <w:pPr>
        <w:jc w:val="right"/>
        <w:rPr>
          <w:b/>
          <w:lang w:val="en-GB" w:eastAsia="ja-JP"/>
        </w:rPr>
      </w:pPr>
    </w:p>
    <w:p w14:paraId="5EA5D14F" w14:textId="77777777" w:rsidR="005309D1" w:rsidRPr="00F60F5E" w:rsidRDefault="005309D1" w:rsidP="005309D1">
      <w:pPr>
        <w:spacing w:line="240" w:lineRule="exact"/>
        <w:rPr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8491"/>
      </w:tblGrid>
      <w:tr w:rsidR="005309D1" w:rsidRPr="00F60F5E" w14:paraId="51126C2E" w14:textId="77777777" w:rsidTr="09E11152">
        <w:tc>
          <w:tcPr>
            <w:tcW w:w="1080" w:type="dxa"/>
          </w:tcPr>
          <w:p w14:paraId="1A5BA944" w14:textId="77777777" w:rsidR="005309D1" w:rsidRPr="005E5A42" w:rsidRDefault="005309D1" w:rsidP="00D7040B">
            <w:pPr>
              <w:suppressAutoHyphens/>
              <w:rPr>
                <w:b/>
                <w:lang w:val="en-GB"/>
              </w:rPr>
            </w:pPr>
            <w:r w:rsidRPr="005E5A42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14:paraId="49796487" w14:textId="632E192C" w:rsidR="005309D1" w:rsidRPr="005E5A42" w:rsidRDefault="00D8427D" w:rsidP="00D7040B">
            <w:pPr>
              <w:suppressAutoHyphens/>
              <w:rPr>
                <w:b/>
                <w:lang w:val="en-GB"/>
              </w:rPr>
            </w:pPr>
            <w:r w:rsidRPr="005E5A42">
              <w:rPr>
                <w:b/>
                <w:lang w:val="en-GB"/>
              </w:rPr>
              <w:t>Nokia,</w:t>
            </w:r>
            <w:r w:rsidR="00916602" w:rsidRPr="005E5A42">
              <w:rPr>
                <w:b/>
                <w:lang w:val="en-GB"/>
              </w:rPr>
              <w:t xml:space="preserve"> LGE, </w:t>
            </w:r>
            <w:proofErr w:type="spellStart"/>
            <w:r w:rsidR="00000628" w:rsidRPr="00000628">
              <w:rPr>
                <w:b/>
                <w:lang w:val="en-GB"/>
              </w:rPr>
              <w:t>InterDigital</w:t>
            </w:r>
            <w:proofErr w:type="spellEnd"/>
            <w:r w:rsidR="00000628" w:rsidRPr="00000628">
              <w:rPr>
                <w:b/>
                <w:lang w:val="en-GB"/>
              </w:rPr>
              <w:t xml:space="preserve"> Communications, Inc.</w:t>
            </w:r>
            <w:r w:rsidR="00B54783" w:rsidRPr="005E5A42">
              <w:rPr>
                <w:b/>
                <w:lang w:val="en-GB"/>
              </w:rPr>
              <w:t>, ZTE</w:t>
            </w:r>
            <w:r w:rsidR="00DE5AE3" w:rsidRPr="005E5A42">
              <w:rPr>
                <w:b/>
                <w:lang w:val="en-GB"/>
              </w:rPr>
              <w:t>, Apple</w:t>
            </w:r>
          </w:p>
        </w:tc>
      </w:tr>
      <w:tr w:rsidR="005309D1" w:rsidRPr="00F60F5E" w14:paraId="68DDA0EF" w14:textId="77777777" w:rsidTr="09E11152">
        <w:tc>
          <w:tcPr>
            <w:tcW w:w="1080" w:type="dxa"/>
          </w:tcPr>
          <w:p w14:paraId="4ACCF215" w14:textId="77777777" w:rsidR="005309D1" w:rsidRPr="005E5A42" w:rsidRDefault="005309D1" w:rsidP="00D7040B">
            <w:pPr>
              <w:suppressAutoHyphens/>
              <w:rPr>
                <w:b/>
                <w:lang w:val="en-GB"/>
              </w:rPr>
            </w:pPr>
            <w:r w:rsidRPr="005E5A42">
              <w:rPr>
                <w:b/>
                <w:lang w:val="en-GB"/>
              </w:rPr>
              <w:t>Status</w:t>
            </w:r>
          </w:p>
        </w:tc>
        <w:tc>
          <w:tcPr>
            <w:tcW w:w="8491" w:type="dxa"/>
          </w:tcPr>
          <w:p w14:paraId="336FF382" w14:textId="77777777" w:rsidR="005309D1" w:rsidRPr="005E5A42" w:rsidRDefault="005309D1" w:rsidP="00D7040B">
            <w:pPr>
              <w:suppressAutoHyphens/>
              <w:rPr>
                <w:b/>
                <w:lang w:val="en-GB"/>
              </w:rPr>
            </w:pPr>
            <w:r w:rsidRPr="005E5A42">
              <w:rPr>
                <w:b/>
                <w:lang w:val="en-GB"/>
              </w:rPr>
              <w:t>Input</w:t>
            </w:r>
          </w:p>
        </w:tc>
      </w:tr>
      <w:tr w:rsidR="005309D1" w:rsidRPr="00F60F5E" w14:paraId="48D1ED1D" w14:textId="77777777" w:rsidTr="09E11152">
        <w:tc>
          <w:tcPr>
            <w:tcW w:w="1080" w:type="dxa"/>
          </w:tcPr>
          <w:p w14:paraId="1973E172" w14:textId="77777777" w:rsidR="005309D1" w:rsidRPr="005E5A42" w:rsidRDefault="005309D1" w:rsidP="00D7040B">
            <w:pPr>
              <w:suppressAutoHyphens/>
              <w:rPr>
                <w:b/>
                <w:lang w:val="en-GB"/>
              </w:rPr>
            </w:pPr>
            <w:r w:rsidRPr="005E5A42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14:paraId="0D9C861E" w14:textId="7C81EF4A" w:rsidR="005309D1" w:rsidRPr="005E5A42" w:rsidRDefault="003A61D4" w:rsidP="09E11152">
            <w:pPr>
              <w:suppressAutoHyphens/>
              <w:rPr>
                <w:b/>
                <w:bCs/>
              </w:rPr>
            </w:pPr>
            <w:r w:rsidRPr="005E5A42">
              <w:rPr>
                <w:b/>
                <w:bCs/>
              </w:rPr>
              <w:t>Clarification of Patch Data Group Unit types</w:t>
            </w:r>
          </w:p>
        </w:tc>
      </w:tr>
      <w:tr w:rsidR="005309D1" w:rsidRPr="00B54783" w14:paraId="595EDFF2" w14:textId="77777777" w:rsidTr="09E11152">
        <w:tc>
          <w:tcPr>
            <w:tcW w:w="1080" w:type="dxa"/>
          </w:tcPr>
          <w:p w14:paraId="38823E90" w14:textId="77777777" w:rsidR="005309D1" w:rsidRPr="005E5A42" w:rsidRDefault="005309D1" w:rsidP="00D7040B">
            <w:pPr>
              <w:rPr>
                <w:b/>
                <w:lang w:val="en-GB"/>
              </w:rPr>
            </w:pPr>
            <w:r w:rsidRPr="005E5A42">
              <w:rPr>
                <w:b/>
                <w:lang w:val="en-GB"/>
              </w:rPr>
              <w:t>Authors</w:t>
            </w:r>
          </w:p>
        </w:tc>
        <w:tc>
          <w:tcPr>
            <w:tcW w:w="8491" w:type="dxa"/>
          </w:tcPr>
          <w:p w14:paraId="77A6E9A9" w14:textId="2B9B8A57" w:rsidR="005309D1" w:rsidRPr="005E5A42" w:rsidRDefault="007A4BC2" w:rsidP="005309D1">
            <w:pPr>
              <w:rPr>
                <w:lang w:val="en-GB" w:eastAsia="ja-JP"/>
              </w:rPr>
            </w:pPr>
            <w:r w:rsidRPr="005E5A42">
              <w:rPr>
                <w:lang w:val="en-GB" w:eastAsia="ja-JP"/>
              </w:rPr>
              <w:t>Lauri Ilola</w:t>
            </w:r>
            <w:r w:rsidR="003A61D4" w:rsidRPr="005E5A42">
              <w:rPr>
                <w:lang w:val="en-GB" w:eastAsia="ja-JP"/>
              </w:rPr>
              <w:t xml:space="preserve"> (Nokia),</w:t>
            </w:r>
            <w:r w:rsidR="00916602" w:rsidRPr="005E5A42">
              <w:rPr>
                <w:lang w:val="en-GB" w:eastAsia="ja-JP"/>
              </w:rPr>
              <w:t xml:space="preserve"> Sejin Oh (LGE), Ahmed Hamza (</w:t>
            </w:r>
            <w:proofErr w:type="spellStart"/>
            <w:r w:rsidR="00000628">
              <w:t>InterDigital</w:t>
            </w:r>
            <w:proofErr w:type="spellEnd"/>
            <w:r w:rsidR="00000628">
              <w:t xml:space="preserve"> Communications, Inc.</w:t>
            </w:r>
            <w:r w:rsidR="00916602" w:rsidRPr="005E5A42">
              <w:rPr>
                <w:lang w:val="en-GB" w:eastAsia="ja-JP"/>
              </w:rPr>
              <w:t>)</w:t>
            </w:r>
            <w:r w:rsidR="00B54783" w:rsidRPr="005E5A42">
              <w:rPr>
                <w:lang w:val="en-GB" w:eastAsia="ja-JP"/>
              </w:rPr>
              <w:t>, Cheng Huang (ZTE)</w:t>
            </w:r>
            <w:r w:rsidR="00DE5AE3" w:rsidRPr="005E5A42">
              <w:rPr>
                <w:lang w:val="en-GB" w:eastAsia="ja-JP"/>
              </w:rPr>
              <w:t>, Alexis Michael Tourapis (Apple)</w:t>
            </w:r>
          </w:p>
        </w:tc>
      </w:tr>
    </w:tbl>
    <w:p w14:paraId="2E32FC8C" w14:textId="59C2377E" w:rsidR="00985D37" w:rsidRDefault="0003203C" w:rsidP="006D12FB">
      <w:pPr>
        <w:pStyle w:val="Heading1"/>
        <w:numPr>
          <w:ilvl w:val="0"/>
          <w:numId w:val="0"/>
        </w:numPr>
        <w:rPr>
          <w:lang w:val="en-GB"/>
        </w:rPr>
      </w:pPr>
      <w:r>
        <w:rPr>
          <w:lang w:val="en-GB"/>
        </w:rPr>
        <w:t>Abstract</w:t>
      </w:r>
    </w:p>
    <w:p w14:paraId="5975CC71" w14:textId="778A87C0" w:rsidR="00215634" w:rsidRPr="00865901" w:rsidRDefault="70470080" w:rsidP="70470080">
      <w:pPr>
        <w:rPr>
          <w:lang w:val="en-GB"/>
        </w:rPr>
      </w:pPr>
      <w:r w:rsidRPr="70470080">
        <w:rPr>
          <w:lang w:val="en-GB"/>
        </w:rPr>
        <w:t>A contribution on V-PCC track rando</w:t>
      </w:r>
      <w:bookmarkStart w:id="0" w:name="_GoBack"/>
      <w:bookmarkEnd w:id="0"/>
      <w:r w:rsidRPr="70470080">
        <w:rPr>
          <w:lang w:val="en-GB"/>
        </w:rPr>
        <w:t xml:space="preserve">m access </w:t>
      </w:r>
      <w:r w:rsidR="0068332A">
        <w:rPr>
          <w:lang w:val="en-GB"/>
        </w:rPr>
        <w:fldChar w:fldCharType="begin"/>
      </w:r>
      <w:r w:rsidR="0068332A">
        <w:rPr>
          <w:lang w:val="en-GB"/>
        </w:rPr>
        <w:instrText xml:space="preserve"> REF _Ref12884817 \r \h </w:instrText>
      </w:r>
      <w:r w:rsidR="0068332A">
        <w:rPr>
          <w:lang w:val="en-GB"/>
        </w:rPr>
      </w:r>
      <w:r w:rsidR="0068332A">
        <w:rPr>
          <w:lang w:val="en-GB"/>
        </w:rPr>
        <w:fldChar w:fldCharType="separate"/>
      </w:r>
      <w:r w:rsidR="0068332A">
        <w:rPr>
          <w:lang w:val="en-GB"/>
        </w:rPr>
        <w:t>[3]</w:t>
      </w:r>
      <w:r w:rsidR="0068332A">
        <w:rPr>
          <w:lang w:val="en-GB"/>
        </w:rPr>
        <w:fldChar w:fldCharType="end"/>
      </w:r>
      <w:r w:rsidRPr="70470080">
        <w:rPr>
          <w:lang w:val="en-GB"/>
        </w:rPr>
        <w:t xml:space="preserve"> was discussed during </w:t>
      </w:r>
      <w:r w:rsidR="00DE5AE3">
        <w:rPr>
          <w:lang w:val="en-GB"/>
        </w:rPr>
        <w:t xml:space="preserve">the </w:t>
      </w:r>
      <w:r w:rsidRPr="70470080">
        <w:rPr>
          <w:lang w:val="en-GB"/>
        </w:rPr>
        <w:t xml:space="preserve">AHG meeting in Palo Alto, whereby it was concluded that ambiguities related to Patch Data Group Unit types and their update frequencies </w:t>
      </w:r>
      <w:r w:rsidR="00DE5AE3">
        <w:rPr>
          <w:lang w:val="en-GB"/>
        </w:rPr>
        <w:t xml:space="preserve">can </w:t>
      </w:r>
      <w:r w:rsidRPr="70470080">
        <w:rPr>
          <w:lang w:val="en-GB"/>
        </w:rPr>
        <w:t xml:space="preserve">complicate random accessibility of </w:t>
      </w:r>
      <w:r w:rsidR="00DE5AE3">
        <w:rPr>
          <w:lang w:val="en-GB"/>
        </w:rPr>
        <w:t xml:space="preserve">the </w:t>
      </w:r>
      <w:r w:rsidRPr="70470080">
        <w:rPr>
          <w:lang w:val="en-GB"/>
        </w:rPr>
        <w:t xml:space="preserve">V-PCC track. In order to effectively </w:t>
      </w:r>
      <w:r w:rsidR="004A54A5">
        <w:rPr>
          <w:lang w:val="en-GB"/>
        </w:rPr>
        <w:t>encapsulate Patch Data Group Units in the V-PCC Track</w:t>
      </w:r>
      <w:r w:rsidRPr="70470080">
        <w:rPr>
          <w:lang w:val="en-GB"/>
        </w:rPr>
        <w:t xml:space="preserve">, further clarification on the use of different Patch Data Group Unit types was requested. </w:t>
      </w:r>
    </w:p>
    <w:p w14:paraId="28876BC8" w14:textId="53A51D1C" w:rsidR="00FB297A" w:rsidRDefault="008D11DB" w:rsidP="002B091C">
      <w:pPr>
        <w:pStyle w:val="Heading1"/>
        <w:rPr>
          <w:lang w:val="en-GB"/>
        </w:rPr>
      </w:pPr>
      <w:r>
        <w:rPr>
          <w:lang w:val="en-GB"/>
        </w:rPr>
        <w:t>Background</w:t>
      </w:r>
    </w:p>
    <w:p w14:paraId="610598FA" w14:textId="330BEBB5" w:rsidR="00C62D59" w:rsidRDefault="00C62D59" w:rsidP="006E3A74">
      <w:pPr>
        <w:rPr>
          <w:lang w:val="en-GB"/>
        </w:rPr>
      </w:pPr>
      <w:r>
        <w:rPr>
          <w:lang w:val="en-GB"/>
        </w:rPr>
        <w:t xml:space="preserve">MPEG-I Systems is working to encapsulate V-PCC content in ISOBMFF. </w:t>
      </w:r>
      <w:r w:rsidR="006E3A74">
        <w:rPr>
          <w:lang w:val="en-GB"/>
        </w:rPr>
        <w:t xml:space="preserve">The </w:t>
      </w:r>
      <w:r w:rsidR="006E3A74">
        <w:rPr>
          <w:lang w:eastAsia="ko-KR"/>
        </w:rPr>
        <w:t>main design principle is to map V-PCC units in a V-PCC bitstream to individual tracks within the container file based on their types.</w:t>
      </w:r>
      <w:r w:rsidR="006E3A74">
        <w:t xml:space="preserve"> </w:t>
      </w:r>
      <w:r w:rsidR="006E3A74" w:rsidRPr="006E3A74">
        <w:rPr>
          <w:lang w:val="en-GB"/>
        </w:rPr>
        <w:t>The V-PCC track is a new type of track for carrying volumetric visual information.</w:t>
      </w:r>
      <w:r w:rsidR="006E3A74">
        <w:rPr>
          <w:lang w:val="en-GB"/>
        </w:rPr>
        <w:t xml:space="preserve"> </w:t>
      </w:r>
      <w:r w:rsidR="006E3A74" w:rsidRPr="006E3A74">
        <w:rPr>
          <w:lang w:val="en-GB"/>
        </w:rPr>
        <w:t>The 2D video tracks are coded as defined by their specifications</w:t>
      </w:r>
      <w:r w:rsidR="0068332A">
        <w:rPr>
          <w:lang w:val="en-GB"/>
        </w:rPr>
        <w:t xml:space="preserve"> and</w:t>
      </w:r>
      <w:r w:rsidR="006E3A74" w:rsidRPr="006E3A74">
        <w:rPr>
          <w:lang w:val="en-GB"/>
        </w:rPr>
        <w:t xml:space="preserve"> encapsulated in the restricted video schemes</w:t>
      </w:r>
      <w:r w:rsidR="006E3A74">
        <w:rPr>
          <w:lang w:val="en-GB"/>
        </w:rPr>
        <w:t xml:space="preserve"> </w:t>
      </w:r>
      <w:r w:rsidR="0068332A">
        <w:rPr>
          <w:lang w:val="en-GB"/>
        </w:rPr>
        <w:fldChar w:fldCharType="begin"/>
      </w:r>
      <w:r w:rsidR="0068332A">
        <w:rPr>
          <w:lang w:val="en-GB"/>
        </w:rPr>
        <w:instrText xml:space="preserve"> REF _Ref12884844 \r \h </w:instrText>
      </w:r>
      <w:r w:rsidR="0068332A">
        <w:rPr>
          <w:lang w:val="en-GB"/>
        </w:rPr>
      </w:r>
      <w:r w:rsidR="0068332A">
        <w:rPr>
          <w:lang w:val="en-GB"/>
        </w:rPr>
        <w:fldChar w:fldCharType="separate"/>
      </w:r>
      <w:r w:rsidR="0068332A">
        <w:rPr>
          <w:lang w:val="en-GB"/>
        </w:rPr>
        <w:t>[2]</w:t>
      </w:r>
      <w:r w:rsidR="0068332A">
        <w:rPr>
          <w:lang w:val="en-GB"/>
        </w:rPr>
        <w:fldChar w:fldCharType="end"/>
      </w:r>
      <w:r w:rsidR="006E3A74">
        <w:rPr>
          <w:lang w:val="en-GB"/>
        </w:rPr>
        <w:t>.</w:t>
      </w:r>
    </w:p>
    <w:p w14:paraId="08BE32E7" w14:textId="77777777" w:rsidR="000E2FDC" w:rsidRDefault="000E2FDC" w:rsidP="000E2FDC">
      <w:pPr>
        <w:rPr>
          <w:lang w:val="en-GB"/>
        </w:rPr>
      </w:pPr>
    </w:p>
    <w:p w14:paraId="03B36E23" w14:textId="67F9C68E" w:rsidR="000E2FDC" w:rsidRDefault="70470080" w:rsidP="70470080">
      <w:pPr>
        <w:rPr>
          <w:lang w:val="en-GB"/>
        </w:rPr>
      </w:pPr>
      <w:r w:rsidRPr="70470080">
        <w:rPr>
          <w:lang w:val="en-GB"/>
        </w:rPr>
        <w:t xml:space="preserve">The current working draft for storage of V-PCC in ISOBMFF describes how V-PCC units are stored in multiple tracks </w:t>
      </w:r>
      <w:r w:rsidR="0068332A">
        <w:rPr>
          <w:lang w:val="en-GB"/>
        </w:rPr>
        <w:fldChar w:fldCharType="begin"/>
      </w:r>
      <w:r w:rsidR="0068332A">
        <w:rPr>
          <w:lang w:val="en-GB"/>
        </w:rPr>
        <w:instrText xml:space="preserve"> REF _Ref12884844 \r \h </w:instrText>
      </w:r>
      <w:r w:rsidR="0068332A">
        <w:rPr>
          <w:lang w:val="en-GB"/>
        </w:rPr>
      </w:r>
      <w:r w:rsidR="0068332A">
        <w:rPr>
          <w:lang w:val="en-GB"/>
        </w:rPr>
        <w:fldChar w:fldCharType="separate"/>
      </w:r>
      <w:r w:rsidR="0068332A">
        <w:rPr>
          <w:lang w:val="en-GB"/>
        </w:rPr>
        <w:t>[2]</w:t>
      </w:r>
      <w:r w:rsidR="0068332A">
        <w:rPr>
          <w:lang w:val="en-GB"/>
        </w:rPr>
        <w:fldChar w:fldCharType="end"/>
      </w:r>
      <w:r w:rsidRPr="70470080">
        <w:rPr>
          <w:lang w:val="en-GB"/>
        </w:rPr>
        <w:t>. Random accessibility using Sync Samples is well defined for traditional planar 2</w:t>
      </w:r>
      <w:r w:rsidR="007E0E74">
        <w:rPr>
          <w:lang w:val="en-GB"/>
        </w:rPr>
        <w:t>D</w:t>
      </w:r>
      <w:r w:rsidRPr="70470080">
        <w:rPr>
          <w:lang w:val="en-GB"/>
        </w:rPr>
        <w:t xml:space="preserve"> video tracks. However, the current design of </w:t>
      </w:r>
      <w:r w:rsidR="007E0E74">
        <w:rPr>
          <w:lang w:val="en-GB"/>
        </w:rPr>
        <w:t xml:space="preserve">the </w:t>
      </w:r>
      <w:r w:rsidRPr="70470080">
        <w:rPr>
          <w:lang w:val="en-GB"/>
        </w:rPr>
        <w:t xml:space="preserve">V-PCC track is not optimal from </w:t>
      </w:r>
      <w:r w:rsidR="007E0E74">
        <w:rPr>
          <w:lang w:val="en-GB"/>
        </w:rPr>
        <w:t xml:space="preserve">a </w:t>
      </w:r>
      <w:r w:rsidRPr="70470080">
        <w:rPr>
          <w:lang w:val="en-GB"/>
        </w:rPr>
        <w:t>random access point of view. The main reasons are:</w:t>
      </w:r>
    </w:p>
    <w:p w14:paraId="36E7FEB2" w14:textId="2D30249D" w:rsidR="00246994" w:rsidRDefault="70470080" w:rsidP="70470080">
      <w:pPr>
        <w:pStyle w:val="ListParagraph"/>
        <w:numPr>
          <w:ilvl w:val="0"/>
          <w:numId w:val="15"/>
        </w:numPr>
        <w:rPr>
          <w:lang w:val="en-GB"/>
        </w:rPr>
      </w:pPr>
      <w:r w:rsidRPr="70470080">
        <w:rPr>
          <w:lang w:val="en-GB"/>
        </w:rPr>
        <w:t>Different Patch Data Group Unit types, which are stored in V-PCC track samples, have different update frequencies.</w:t>
      </w:r>
    </w:p>
    <w:p w14:paraId="0A85C988" w14:textId="3E7D60C2" w:rsidR="000E2FDC" w:rsidRDefault="7D4E514A" w:rsidP="7D4E514A">
      <w:pPr>
        <w:pStyle w:val="ListParagraph"/>
        <w:numPr>
          <w:ilvl w:val="0"/>
          <w:numId w:val="15"/>
        </w:numPr>
        <w:rPr>
          <w:lang w:val="en-GB"/>
        </w:rPr>
      </w:pPr>
      <w:r w:rsidRPr="7D4E514A">
        <w:rPr>
          <w:lang w:val="en-GB"/>
        </w:rPr>
        <w:t xml:space="preserve">A random access sample cannot be dependent on any </w:t>
      </w:r>
      <w:r w:rsidR="006E3A74">
        <w:rPr>
          <w:lang w:val="en-GB"/>
        </w:rPr>
        <w:t>previous sample</w:t>
      </w:r>
      <w:r w:rsidR="00AD3A5F">
        <w:rPr>
          <w:lang w:val="en-GB"/>
        </w:rPr>
        <w:t xml:space="preserve"> and all samples after </w:t>
      </w:r>
      <w:r w:rsidR="007E0E74">
        <w:rPr>
          <w:lang w:val="en-GB"/>
        </w:rPr>
        <w:t xml:space="preserve">a </w:t>
      </w:r>
      <w:r w:rsidR="00AD3A5F">
        <w:rPr>
          <w:lang w:val="en-GB"/>
        </w:rPr>
        <w:t>random access sample must be decodable</w:t>
      </w:r>
      <w:r w:rsidRPr="7D4E514A">
        <w:rPr>
          <w:lang w:val="en-GB"/>
        </w:rPr>
        <w:t>. Hence all metadata</w:t>
      </w:r>
      <w:r w:rsidR="00CB1579">
        <w:rPr>
          <w:lang w:val="en-GB"/>
        </w:rPr>
        <w:t xml:space="preserve"> required to render a frame</w:t>
      </w:r>
      <w:r w:rsidRPr="7D4E514A">
        <w:rPr>
          <w:lang w:val="en-GB"/>
        </w:rPr>
        <w:t xml:space="preserve"> must be present in a</w:t>
      </w:r>
      <w:r w:rsidR="00AD3A5F">
        <w:rPr>
          <w:lang w:val="en-GB"/>
        </w:rPr>
        <w:t xml:space="preserve"> random access</w:t>
      </w:r>
      <w:r w:rsidRPr="7D4E514A">
        <w:rPr>
          <w:lang w:val="en-GB"/>
        </w:rPr>
        <w:t xml:space="preserve"> sample.</w:t>
      </w:r>
    </w:p>
    <w:p w14:paraId="499118AF" w14:textId="5630CA4E" w:rsidR="000E2FDC" w:rsidRDefault="000E2FDC" w:rsidP="000E2FDC">
      <w:pPr>
        <w:pStyle w:val="ListParagraph"/>
        <w:numPr>
          <w:ilvl w:val="0"/>
          <w:numId w:val="15"/>
        </w:numPr>
        <w:rPr>
          <w:lang w:val="en-GB"/>
        </w:rPr>
      </w:pPr>
      <w:r>
        <w:rPr>
          <w:lang w:val="en-GB"/>
        </w:rPr>
        <w:t>Rep</w:t>
      </w:r>
      <w:r w:rsidR="00246994">
        <w:rPr>
          <w:lang w:val="en-GB"/>
        </w:rPr>
        <w:t>licating</w:t>
      </w:r>
      <w:r>
        <w:rPr>
          <w:lang w:val="en-GB"/>
        </w:rPr>
        <w:t xml:space="preserve"> all </w:t>
      </w:r>
      <w:r w:rsidR="00AD3A5F">
        <w:rPr>
          <w:lang w:val="en-GB"/>
        </w:rPr>
        <w:t>Patch Data Group Unit types</w:t>
      </w:r>
      <w:r>
        <w:rPr>
          <w:lang w:val="en-GB"/>
        </w:rPr>
        <w:t xml:space="preserve"> in every sample is far from being optimal and </w:t>
      </w:r>
      <w:r w:rsidR="007E0E74">
        <w:rPr>
          <w:lang w:val="en-GB"/>
        </w:rPr>
        <w:t xml:space="preserve">is </w:t>
      </w:r>
      <w:r>
        <w:rPr>
          <w:lang w:val="en-GB"/>
        </w:rPr>
        <w:t>also undesirable.</w:t>
      </w:r>
    </w:p>
    <w:p w14:paraId="5E6CC6D7" w14:textId="77777777" w:rsidR="000E2FDC" w:rsidRDefault="000E2FDC" w:rsidP="000E2FDC">
      <w:pPr>
        <w:rPr>
          <w:lang w:val="en-GB"/>
        </w:rPr>
      </w:pPr>
    </w:p>
    <w:p w14:paraId="315780A4" w14:textId="137E4383" w:rsidR="0030294F" w:rsidRDefault="00AD3A5F" w:rsidP="000E2FDC">
      <w:pPr>
        <w:rPr>
          <w:lang w:val="en-GB"/>
        </w:rPr>
      </w:pPr>
      <w:r>
        <w:rPr>
          <w:lang w:val="en-GB"/>
        </w:rPr>
        <w:t>A s</w:t>
      </w:r>
      <w:r w:rsidR="000E2FDC">
        <w:rPr>
          <w:lang w:val="en-GB"/>
        </w:rPr>
        <w:t xml:space="preserve">olution to </w:t>
      </w:r>
      <w:r>
        <w:rPr>
          <w:lang w:val="en-GB"/>
        </w:rPr>
        <w:t xml:space="preserve">balance V-PCC </w:t>
      </w:r>
      <w:r w:rsidR="00246994">
        <w:rPr>
          <w:lang w:val="en-GB"/>
        </w:rPr>
        <w:t>track sample</w:t>
      </w:r>
      <w:r w:rsidR="000E2FDC">
        <w:rPr>
          <w:lang w:val="en-GB"/>
        </w:rPr>
        <w:t xml:space="preserve"> updates/replication and</w:t>
      </w:r>
      <w:r>
        <w:rPr>
          <w:lang w:val="en-GB"/>
        </w:rPr>
        <w:t xml:space="preserve"> enable</w:t>
      </w:r>
      <w:r w:rsidR="000E2FDC">
        <w:rPr>
          <w:lang w:val="en-GB"/>
        </w:rPr>
        <w:t xml:space="preserve"> </w:t>
      </w:r>
      <w:r>
        <w:rPr>
          <w:lang w:val="en-GB"/>
        </w:rPr>
        <w:t xml:space="preserve">efficient </w:t>
      </w:r>
      <w:r w:rsidR="000E2FDC">
        <w:rPr>
          <w:lang w:val="en-GB"/>
        </w:rPr>
        <w:t xml:space="preserve">random access is therefore required. </w:t>
      </w:r>
      <w:r w:rsidR="00CB1579">
        <w:rPr>
          <w:lang w:val="en-GB"/>
        </w:rPr>
        <w:t xml:space="preserve">During the ad hoc group meeting, two approaches for random access were discussed. </w:t>
      </w:r>
      <w:r w:rsidR="007E0E74">
        <w:rPr>
          <w:lang w:val="en-GB"/>
        </w:rPr>
        <w:t>The f</w:t>
      </w:r>
      <w:r w:rsidR="00CB1579">
        <w:rPr>
          <w:lang w:val="en-GB"/>
        </w:rPr>
        <w:t xml:space="preserve">irst approach focused on usage of Sync Samples to define random access points for </w:t>
      </w:r>
      <w:r w:rsidR="007E0E74">
        <w:rPr>
          <w:lang w:val="en-GB"/>
        </w:rPr>
        <w:t xml:space="preserve">the </w:t>
      </w:r>
      <w:r w:rsidR="00CB1579">
        <w:rPr>
          <w:lang w:val="en-GB"/>
        </w:rPr>
        <w:t xml:space="preserve">V-PCC track. The main drawback of this approach is the requirement to replicate </w:t>
      </w:r>
      <w:r w:rsidR="00280D0A">
        <w:rPr>
          <w:lang w:val="en-GB"/>
        </w:rPr>
        <w:t>in</w:t>
      </w:r>
      <w:r w:rsidR="00CB1579">
        <w:rPr>
          <w:lang w:val="en-GB"/>
        </w:rPr>
        <w:t xml:space="preserve">frequently changing Patch Data Group Unit </w:t>
      </w:r>
      <w:r w:rsidR="007E0E74">
        <w:rPr>
          <w:lang w:val="en-GB"/>
        </w:rPr>
        <w:t>p</w:t>
      </w:r>
      <w:r w:rsidR="00CB1579">
        <w:rPr>
          <w:lang w:val="en-GB"/>
        </w:rPr>
        <w:t xml:space="preserve">ayloads for each Sync Sample. </w:t>
      </w:r>
    </w:p>
    <w:p w14:paraId="32BCD8E6" w14:textId="77777777" w:rsidR="00E949CE" w:rsidRDefault="00E949CE" w:rsidP="000E2FDC">
      <w:pPr>
        <w:rPr>
          <w:lang w:val="en-GB"/>
        </w:rPr>
      </w:pPr>
    </w:p>
    <w:p w14:paraId="0E151B12" w14:textId="46870885" w:rsidR="000E2FDC" w:rsidRDefault="00CB1579" w:rsidP="000E2FDC">
      <w:pPr>
        <w:rPr>
          <w:lang w:val="en-GB"/>
        </w:rPr>
      </w:pPr>
      <w:r>
        <w:rPr>
          <w:lang w:val="en-GB"/>
        </w:rPr>
        <w:lastRenderedPageBreak/>
        <w:t xml:space="preserve">This approach was made less ideal after the changes made in </w:t>
      </w:r>
      <w:r w:rsidR="007E0E74">
        <w:rPr>
          <w:lang w:val="en-GB"/>
        </w:rPr>
        <w:t xml:space="preserve">the </w:t>
      </w:r>
      <w:r>
        <w:rPr>
          <w:lang w:val="en-GB"/>
        </w:rPr>
        <w:t>Sequence Parameter Set syntax after MPEG #126</w:t>
      </w:r>
      <w:r w:rsidR="00D217D7">
        <w:rPr>
          <w:lang w:val="en-GB"/>
        </w:rPr>
        <w:t>, whereby several parameter sets were moved to Patch Data Groups.</w:t>
      </w:r>
      <w:r w:rsidR="00280D0A">
        <w:rPr>
          <w:lang w:val="en-GB"/>
        </w:rPr>
        <w:t xml:space="preserve"> Table 1 describes different Patch Data Group Unit types as defined by the current S</w:t>
      </w:r>
      <w:r w:rsidR="001D6292">
        <w:rPr>
          <w:lang w:val="en-GB"/>
        </w:rPr>
        <w:t xml:space="preserve">tudy of </w:t>
      </w:r>
      <w:r w:rsidR="00280D0A">
        <w:rPr>
          <w:lang w:val="en-GB"/>
        </w:rPr>
        <w:t xml:space="preserve">CD </w:t>
      </w:r>
      <w:r w:rsidR="00D75027">
        <w:rPr>
          <w:lang w:val="en-GB"/>
        </w:rPr>
        <w:fldChar w:fldCharType="begin"/>
      </w:r>
      <w:r w:rsidR="00D75027">
        <w:rPr>
          <w:lang w:val="en-GB"/>
        </w:rPr>
        <w:instrText xml:space="preserve"> REF _Ref12885839 \r \h </w:instrText>
      </w:r>
      <w:r w:rsidR="00D75027">
        <w:rPr>
          <w:lang w:val="en-GB"/>
        </w:rPr>
      </w:r>
      <w:r w:rsidR="00D75027">
        <w:rPr>
          <w:lang w:val="en-GB"/>
        </w:rPr>
        <w:fldChar w:fldCharType="separate"/>
      </w:r>
      <w:r w:rsidR="00D75027">
        <w:rPr>
          <w:lang w:val="en-GB"/>
        </w:rPr>
        <w:t>[1]</w:t>
      </w:r>
      <w:r w:rsidR="00D75027">
        <w:rPr>
          <w:lang w:val="en-GB"/>
        </w:rPr>
        <w:fldChar w:fldCharType="end"/>
      </w:r>
      <w:r w:rsidR="001D6292">
        <w:rPr>
          <w:lang w:val="en-GB"/>
        </w:rPr>
        <w:t xml:space="preserve"> V-PCC text</w:t>
      </w:r>
      <w:r w:rsidR="00280D0A">
        <w:rPr>
          <w:lang w:val="en-GB"/>
        </w:rPr>
        <w:t>. In practice</w:t>
      </w:r>
      <w:r w:rsidR="007E0E74">
        <w:rPr>
          <w:lang w:val="en-GB"/>
        </w:rPr>
        <w:t>,</w:t>
      </w:r>
      <w:r w:rsidR="00280D0A">
        <w:rPr>
          <w:lang w:val="en-GB"/>
        </w:rPr>
        <w:t xml:space="preserve"> all Patch Data Group Unit </w:t>
      </w:r>
      <w:r w:rsidR="007E0E74">
        <w:rPr>
          <w:lang w:val="en-GB"/>
        </w:rPr>
        <w:t>p</w:t>
      </w:r>
      <w:r w:rsidR="00280D0A">
        <w:rPr>
          <w:lang w:val="en-GB"/>
        </w:rPr>
        <w:t>ayloads would need to be present in a sample for it to be considered as a Sync Sample.</w:t>
      </w:r>
      <w:r w:rsidR="00D217D7">
        <w:rPr>
          <w:lang w:val="en-GB"/>
        </w:rPr>
        <w:t xml:space="preserve"> Replicating them for each intra period may constitute</w:t>
      </w:r>
      <w:r w:rsidR="00DF1CD6">
        <w:rPr>
          <w:lang w:val="en-GB"/>
        </w:rPr>
        <w:t xml:space="preserve"> a</w:t>
      </w:r>
      <w:r w:rsidR="00D217D7">
        <w:rPr>
          <w:lang w:val="en-GB"/>
        </w:rPr>
        <w:t xml:space="preserve"> significant overhead.</w:t>
      </w:r>
    </w:p>
    <w:p w14:paraId="26226F81" w14:textId="121C72B8" w:rsidR="00CB1579" w:rsidRDefault="00CB1579" w:rsidP="000E2FDC">
      <w:pPr>
        <w:rPr>
          <w:lang w:val="en-GB"/>
        </w:rPr>
      </w:pPr>
    </w:p>
    <w:p w14:paraId="3C418D12" w14:textId="08DAB98E" w:rsidR="00CB1579" w:rsidRDefault="00CB1579" w:rsidP="00CB1579">
      <w:pPr>
        <w:pStyle w:val="Caption"/>
        <w:keepNext/>
        <w:jc w:val="center"/>
      </w:pPr>
      <w:r>
        <w:t xml:space="preserve">Table </w:t>
      </w:r>
      <w:r>
        <w:rPr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Patch Data Group Unit Types</w:t>
      </w:r>
      <w:r w:rsidR="004D6FF3">
        <w:t xml:space="preserve"> [1]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13"/>
        <w:gridCol w:w="1938"/>
        <w:gridCol w:w="2986"/>
        <w:gridCol w:w="3185"/>
      </w:tblGrid>
      <w:tr w:rsidR="00CB1579" w:rsidRPr="001D6292" w14:paraId="2C0E448D" w14:textId="77777777" w:rsidTr="005E5A42">
        <w:trPr>
          <w:jc w:val="center"/>
        </w:trPr>
        <w:tc>
          <w:tcPr>
            <w:tcW w:w="1513" w:type="dxa"/>
          </w:tcPr>
          <w:p w14:paraId="39CDBB90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b/>
                <w:color w:val="000000" w:themeColor="text1"/>
                <w:sz w:val="21"/>
                <w:lang w:val="en-CA"/>
              </w:rPr>
              <w:t>pdg_unit_type</w:t>
            </w:r>
          </w:p>
        </w:tc>
        <w:tc>
          <w:tcPr>
            <w:tcW w:w="1938" w:type="dxa"/>
          </w:tcPr>
          <w:p w14:paraId="24A15CDB" w14:textId="77777777" w:rsidR="00CB1579" w:rsidRPr="005E5A42" w:rsidRDefault="00CB1579" w:rsidP="00D83352">
            <w:pPr>
              <w:spacing w:before="120" w:after="120"/>
              <w:rPr>
                <w:b/>
                <w:color w:val="000000" w:themeColor="text1"/>
                <w:sz w:val="21"/>
                <w:lang w:val="en-CA"/>
              </w:rPr>
            </w:pPr>
            <w:r w:rsidRPr="005E5A42">
              <w:rPr>
                <w:b/>
                <w:color w:val="000000" w:themeColor="text1"/>
                <w:sz w:val="21"/>
                <w:lang w:val="en-CA"/>
              </w:rPr>
              <w:t>Identifier</w:t>
            </w:r>
          </w:p>
        </w:tc>
        <w:tc>
          <w:tcPr>
            <w:tcW w:w="2986" w:type="dxa"/>
          </w:tcPr>
          <w:p w14:paraId="5D73F35B" w14:textId="77777777" w:rsidR="00CB1579" w:rsidRPr="005E5A42" w:rsidRDefault="00CB1579" w:rsidP="00D83352">
            <w:pPr>
              <w:spacing w:before="120" w:after="120"/>
              <w:rPr>
                <w:b/>
                <w:color w:val="000000" w:themeColor="text1"/>
                <w:sz w:val="21"/>
                <w:lang w:val="en-CA"/>
              </w:rPr>
            </w:pPr>
            <w:r w:rsidRPr="005E5A42">
              <w:rPr>
                <w:b/>
                <w:color w:val="000000" w:themeColor="text1"/>
                <w:sz w:val="21"/>
                <w:lang w:val="en-CA"/>
              </w:rPr>
              <w:t>Patch Data Group Unit Type</w:t>
            </w:r>
          </w:p>
        </w:tc>
        <w:tc>
          <w:tcPr>
            <w:tcW w:w="3185" w:type="dxa"/>
          </w:tcPr>
          <w:p w14:paraId="444BD3EF" w14:textId="77777777" w:rsidR="00CB1579" w:rsidRPr="005E5A42" w:rsidRDefault="00CB1579" w:rsidP="00D83352">
            <w:pPr>
              <w:spacing w:before="120" w:after="120"/>
              <w:rPr>
                <w:b/>
                <w:color w:val="000000" w:themeColor="text1"/>
                <w:sz w:val="21"/>
                <w:lang w:val="en-CA"/>
              </w:rPr>
            </w:pPr>
            <w:r w:rsidRPr="005E5A42">
              <w:rPr>
                <w:b/>
                <w:color w:val="000000" w:themeColor="text1"/>
                <w:sz w:val="21"/>
                <w:lang w:val="en-CA"/>
              </w:rPr>
              <w:t>Description</w:t>
            </w:r>
          </w:p>
        </w:tc>
      </w:tr>
      <w:tr w:rsidR="00CB1579" w:rsidRPr="001D6292" w14:paraId="583AAAC2" w14:textId="77777777" w:rsidTr="005E5A42">
        <w:trPr>
          <w:jc w:val="center"/>
        </w:trPr>
        <w:tc>
          <w:tcPr>
            <w:tcW w:w="1513" w:type="dxa"/>
          </w:tcPr>
          <w:p w14:paraId="3A68AF10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0</w:t>
            </w:r>
          </w:p>
        </w:tc>
        <w:tc>
          <w:tcPr>
            <w:tcW w:w="1938" w:type="dxa"/>
          </w:tcPr>
          <w:p w14:paraId="5D10CA7C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PDG_PSPS</w:t>
            </w:r>
          </w:p>
        </w:tc>
        <w:tc>
          <w:tcPr>
            <w:tcW w:w="2986" w:type="dxa"/>
          </w:tcPr>
          <w:p w14:paraId="6834D06F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Patch sequence parameter set</w:t>
            </w:r>
          </w:p>
        </w:tc>
        <w:tc>
          <w:tcPr>
            <w:tcW w:w="3185" w:type="dxa"/>
          </w:tcPr>
          <w:p w14:paraId="4D2D26EA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Sequence level parameters</w:t>
            </w:r>
          </w:p>
        </w:tc>
      </w:tr>
      <w:tr w:rsidR="00CB1579" w:rsidRPr="001D6292" w14:paraId="3CDD4F7D" w14:textId="77777777" w:rsidTr="005E5A42">
        <w:trPr>
          <w:jc w:val="center"/>
        </w:trPr>
        <w:tc>
          <w:tcPr>
            <w:tcW w:w="1513" w:type="dxa"/>
          </w:tcPr>
          <w:p w14:paraId="5DB5C6D1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1</w:t>
            </w:r>
          </w:p>
        </w:tc>
        <w:tc>
          <w:tcPr>
            <w:tcW w:w="1938" w:type="dxa"/>
          </w:tcPr>
          <w:p w14:paraId="219920CF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PDG_PFPS</w:t>
            </w:r>
          </w:p>
        </w:tc>
        <w:tc>
          <w:tcPr>
            <w:tcW w:w="2986" w:type="dxa"/>
          </w:tcPr>
          <w:p w14:paraId="0A8C79B9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Patch frame parameter set</w:t>
            </w:r>
          </w:p>
        </w:tc>
        <w:tc>
          <w:tcPr>
            <w:tcW w:w="3185" w:type="dxa"/>
          </w:tcPr>
          <w:p w14:paraId="4A265D7D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Frame level parameters</w:t>
            </w:r>
          </w:p>
        </w:tc>
      </w:tr>
      <w:tr w:rsidR="00CB1579" w:rsidRPr="001D6292" w14:paraId="6051B9AF" w14:textId="77777777" w:rsidTr="005E5A42">
        <w:trPr>
          <w:jc w:val="center"/>
        </w:trPr>
        <w:tc>
          <w:tcPr>
            <w:tcW w:w="1513" w:type="dxa"/>
          </w:tcPr>
          <w:p w14:paraId="113F4867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2</w:t>
            </w:r>
          </w:p>
        </w:tc>
        <w:tc>
          <w:tcPr>
            <w:tcW w:w="1938" w:type="dxa"/>
          </w:tcPr>
          <w:p w14:paraId="43C950AA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PDG_PFGPS</w:t>
            </w:r>
          </w:p>
        </w:tc>
        <w:tc>
          <w:tcPr>
            <w:tcW w:w="2986" w:type="dxa"/>
          </w:tcPr>
          <w:p w14:paraId="1D285AE8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Patch frame geometry parameter set</w:t>
            </w:r>
          </w:p>
        </w:tc>
        <w:tc>
          <w:tcPr>
            <w:tcW w:w="3185" w:type="dxa"/>
          </w:tcPr>
          <w:p w14:paraId="30344542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Frame level geometry type parameters</w:t>
            </w:r>
          </w:p>
        </w:tc>
      </w:tr>
      <w:tr w:rsidR="00CB1579" w:rsidRPr="001D6292" w14:paraId="7F6234E0" w14:textId="77777777" w:rsidTr="005E5A42">
        <w:trPr>
          <w:jc w:val="center"/>
        </w:trPr>
        <w:tc>
          <w:tcPr>
            <w:tcW w:w="1513" w:type="dxa"/>
          </w:tcPr>
          <w:p w14:paraId="3A4D5E11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3</w:t>
            </w:r>
          </w:p>
        </w:tc>
        <w:tc>
          <w:tcPr>
            <w:tcW w:w="1938" w:type="dxa"/>
          </w:tcPr>
          <w:p w14:paraId="451E96CE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PDG_PFAPS</w:t>
            </w:r>
          </w:p>
        </w:tc>
        <w:tc>
          <w:tcPr>
            <w:tcW w:w="2986" w:type="dxa"/>
          </w:tcPr>
          <w:p w14:paraId="418C3481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Patch frame attribute parameter set</w:t>
            </w:r>
          </w:p>
        </w:tc>
        <w:tc>
          <w:tcPr>
            <w:tcW w:w="3185" w:type="dxa"/>
          </w:tcPr>
          <w:p w14:paraId="3AC70045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Frame level attribute type parameters</w:t>
            </w:r>
          </w:p>
        </w:tc>
      </w:tr>
      <w:tr w:rsidR="00CB1579" w:rsidRPr="001D6292" w14:paraId="7B9C2FEB" w14:textId="77777777" w:rsidTr="005E5A42">
        <w:trPr>
          <w:jc w:val="center"/>
        </w:trPr>
        <w:tc>
          <w:tcPr>
            <w:tcW w:w="1513" w:type="dxa"/>
          </w:tcPr>
          <w:p w14:paraId="75935F19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4</w:t>
            </w:r>
          </w:p>
        </w:tc>
        <w:tc>
          <w:tcPr>
            <w:tcW w:w="1938" w:type="dxa"/>
          </w:tcPr>
          <w:p w14:paraId="31B42750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PDG_GPPS</w:t>
            </w:r>
          </w:p>
        </w:tc>
        <w:tc>
          <w:tcPr>
            <w:tcW w:w="2986" w:type="dxa"/>
          </w:tcPr>
          <w:p w14:paraId="6754EAD2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Geometry patch parameter set</w:t>
            </w:r>
          </w:p>
        </w:tc>
        <w:tc>
          <w:tcPr>
            <w:tcW w:w="3185" w:type="dxa"/>
          </w:tcPr>
          <w:p w14:paraId="3FC1746C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Patch level geometry type parameters</w:t>
            </w:r>
          </w:p>
        </w:tc>
      </w:tr>
      <w:tr w:rsidR="00CB1579" w:rsidRPr="001D6292" w14:paraId="3323920A" w14:textId="77777777" w:rsidTr="005E5A42">
        <w:trPr>
          <w:jc w:val="center"/>
        </w:trPr>
        <w:tc>
          <w:tcPr>
            <w:tcW w:w="1513" w:type="dxa"/>
          </w:tcPr>
          <w:p w14:paraId="31E73EA9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5</w:t>
            </w:r>
          </w:p>
        </w:tc>
        <w:tc>
          <w:tcPr>
            <w:tcW w:w="1938" w:type="dxa"/>
          </w:tcPr>
          <w:p w14:paraId="0F5BAFA4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PDG_APPS</w:t>
            </w:r>
          </w:p>
        </w:tc>
        <w:tc>
          <w:tcPr>
            <w:tcW w:w="2986" w:type="dxa"/>
          </w:tcPr>
          <w:p w14:paraId="4B6DDCAD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Attribute patch parameter set</w:t>
            </w:r>
          </w:p>
        </w:tc>
        <w:tc>
          <w:tcPr>
            <w:tcW w:w="3185" w:type="dxa"/>
          </w:tcPr>
          <w:p w14:paraId="50B7B83B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Patch level attribute type parameters</w:t>
            </w:r>
          </w:p>
        </w:tc>
      </w:tr>
      <w:tr w:rsidR="00CB1579" w:rsidRPr="001D6292" w14:paraId="54EEDAA5" w14:textId="77777777" w:rsidTr="005E5A42">
        <w:trPr>
          <w:jc w:val="center"/>
        </w:trPr>
        <w:tc>
          <w:tcPr>
            <w:tcW w:w="1513" w:type="dxa"/>
          </w:tcPr>
          <w:p w14:paraId="76A664F8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6</w:t>
            </w:r>
          </w:p>
        </w:tc>
        <w:tc>
          <w:tcPr>
            <w:tcW w:w="1938" w:type="dxa"/>
          </w:tcPr>
          <w:p w14:paraId="687C680A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PDG_PTGLU</w:t>
            </w:r>
          </w:p>
        </w:tc>
        <w:tc>
          <w:tcPr>
            <w:tcW w:w="2986" w:type="dxa"/>
          </w:tcPr>
          <w:p w14:paraId="07B041D8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Patch tile group layer unit</w:t>
            </w:r>
          </w:p>
        </w:tc>
        <w:tc>
          <w:tcPr>
            <w:tcW w:w="3185" w:type="dxa"/>
          </w:tcPr>
          <w:p w14:paraId="0FDAB8C3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Patch tile group layer unit</w:t>
            </w:r>
          </w:p>
        </w:tc>
      </w:tr>
      <w:tr w:rsidR="00CB1579" w:rsidRPr="001D6292" w14:paraId="1DAB1231" w14:textId="77777777" w:rsidTr="005E5A42">
        <w:trPr>
          <w:jc w:val="center"/>
        </w:trPr>
        <w:tc>
          <w:tcPr>
            <w:tcW w:w="1513" w:type="dxa"/>
          </w:tcPr>
          <w:p w14:paraId="6A46C28E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7</w:t>
            </w:r>
          </w:p>
        </w:tc>
        <w:tc>
          <w:tcPr>
            <w:tcW w:w="1938" w:type="dxa"/>
          </w:tcPr>
          <w:p w14:paraId="37A2C0E4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PDG_PREFIX_SEI </w:t>
            </w:r>
          </w:p>
        </w:tc>
        <w:tc>
          <w:tcPr>
            <w:tcW w:w="2986" w:type="dxa"/>
          </w:tcPr>
          <w:p w14:paraId="79CEB59A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Prefix SEI message</w:t>
            </w:r>
          </w:p>
        </w:tc>
        <w:tc>
          <w:tcPr>
            <w:tcW w:w="3185" w:type="dxa"/>
          </w:tcPr>
          <w:p w14:paraId="0A19DFCB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Prefix SEI message</w:t>
            </w:r>
          </w:p>
        </w:tc>
      </w:tr>
      <w:tr w:rsidR="00CB1579" w:rsidRPr="001D6292" w14:paraId="3834518A" w14:textId="77777777" w:rsidTr="005E5A42">
        <w:trPr>
          <w:jc w:val="center"/>
        </w:trPr>
        <w:tc>
          <w:tcPr>
            <w:tcW w:w="1513" w:type="dxa"/>
          </w:tcPr>
          <w:p w14:paraId="46E5920E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8</w:t>
            </w:r>
          </w:p>
        </w:tc>
        <w:tc>
          <w:tcPr>
            <w:tcW w:w="1938" w:type="dxa"/>
          </w:tcPr>
          <w:p w14:paraId="7020FC06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PDG_SUFFIX_SEI </w:t>
            </w:r>
          </w:p>
        </w:tc>
        <w:tc>
          <w:tcPr>
            <w:tcW w:w="2986" w:type="dxa"/>
          </w:tcPr>
          <w:p w14:paraId="3C716352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Suffix SEI message</w:t>
            </w:r>
          </w:p>
        </w:tc>
        <w:tc>
          <w:tcPr>
            <w:tcW w:w="3185" w:type="dxa"/>
          </w:tcPr>
          <w:p w14:paraId="64FC256A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Suffix SEI message</w:t>
            </w:r>
          </w:p>
        </w:tc>
      </w:tr>
      <w:tr w:rsidR="00CB1579" w:rsidRPr="001D6292" w14:paraId="3B65885C" w14:textId="77777777" w:rsidTr="005E5A42">
        <w:trPr>
          <w:jc w:val="center"/>
        </w:trPr>
        <w:tc>
          <w:tcPr>
            <w:tcW w:w="1513" w:type="dxa"/>
          </w:tcPr>
          <w:p w14:paraId="4A28E28A" w14:textId="77777777" w:rsidR="00CB1579" w:rsidRPr="005E5A42" w:rsidRDefault="00CB1579" w:rsidP="00D83352">
            <w:pPr>
              <w:spacing w:before="120" w:after="120"/>
              <w:jc w:val="center"/>
              <w:rPr>
                <w:color w:val="000000" w:themeColor="text1"/>
                <w:sz w:val="21"/>
                <w:lang w:val="en-CA"/>
              </w:rPr>
            </w:pPr>
            <w:r w:rsidRPr="005E5A42">
              <w:rPr>
                <w:color w:val="000000" w:themeColor="text1"/>
                <w:sz w:val="21"/>
                <w:lang w:val="en-CA"/>
              </w:rPr>
              <w:t>9…31</w:t>
            </w:r>
          </w:p>
        </w:tc>
        <w:tc>
          <w:tcPr>
            <w:tcW w:w="1938" w:type="dxa"/>
          </w:tcPr>
          <w:p w14:paraId="1D87A5F2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PDG_RSVD</w:t>
            </w:r>
          </w:p>
        </w:tc>
        <w:tc>
          <w:tcPr>
            <w:tcW w:w="2986" w:type="dxa"/>
          </w:tcPr>
          <w:p w14:paraId="77F5F846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Reserved</w:t>
            </w:r>
          </w:p>
        </w:tc>
        <w:tc>
          <w:tcPr>
            <w:tcW w:w="3185" w:type="dxa"/>
          </w:tcPr>
          <w:p w14:paraId="32427A96" w14:textId="77777777" w:rsidR="00CB1579" w:rsidRPr="005E5A42" w:rsidRDefault="00CB1579" w:rsidP="00D83352">
            <w:pPr>
              <w:spacing w:before="120" w:after="120"/>
              <w:rPr>
                <w:color w:val="000000" w:themeColor="text1"/>
                <w:sz w:val="21"/>
                <w:lang w:val="en-CA" w:eastAsia="ko-KR"/>
              </w:rPr>
            </w:pPr>
            <w:r w:rsidRPr="005E5A42">
              <w:rPr>
                <w:color w:val="000000" w:themeColor="text1"/>
                <w:sz w:val="21"/>
                <w:lang w:val="en-CA" w:eastAsia="ko-KR"/>
              </w:rPr>
              <w:t>-</w:t>
            </w:r>
          </w:p>
        </w:tc>
      </w:tr>
    </w:tbl>
    <w:p w14:paraId="638AD8AC" w14:textId="04BBC0D7" w:rsidR="000E2FDC" w:rsidRDefault="000E2FDC" w:rsidP="000E2FDC">
      <w:pPr>
        <w:rPr>
          <w:lang w:val="en-GB"/>
        </w:rPr>
      </w:pPr>
    </w:p>
    <w:p w14:paraId="1256B061" w14:textId="51002ACF" w:rsidR="00D217D7" w:rsidRDefault="00D75027" w:rsidP="000E2FDC">
      <w:pPr>
        <w:rPr>
          <w:lang w:val="en-GB"/>
        </w:rPr>
      </w:pPr>
      <w:r>
        <w:rPr>
          <w:lang w:val="en-GB"/>
        </w:rPr>
        <w:t>A potentially</w:t>
      </w:r>
      <w:r w:rsidR="00280D0A">
        <w:rPr>
          <w:lang w:val="en-GB"/>
        </w:rPr>
        <w:t xml:space="preserve"> improved design </w:t>
      </w:r>
      <w:r>
        <w:rPr>
          <w:lang w:val="en-GB"/>
        </w:rPr>
        <w:t xml:space="preserve">is to consider </w:t>
      </w:r>
      <w:r w:rsidR="00280D0A">
        <w:rPr>
          <w:lang w:val="en-GB"/>
        </w:rPr>
        <w:t>an approach</w:t>
      </w:r>
      <w:r>
        <w:rPr>
          <w:lang w:val="en-GB"/>
        </w:rPr>
        <w:t xml:space="preserve"> that</w:t>
      </w:r>
      <w:r w:rsidR="002D6AB3">
        <w:rPr>
          <w:lang w:val="en-GB"/>
        </w:rPr>
        <w:t xml:space="preserve"> </w:t>
      </w:r>
      <w:r w:rsidR="00280D0A">
        <w:rPr>
          <w:lang w:val="en-GB"/>
        </w:rPr>
        <w:t>utiliz</w:t>
      </w:r>
      <w:r>
        <w:rPr>
          <w:lang w:val="en-GB"/>
        </w:rPr>
        <w:t>es</w:t>
      </w:r>
      <w:r w:rsidR="00280D0A">
        <w:rPr>
          <w:lang w:val="en-GB"/>
        </w:rPr>
        <w:t xml:space="preserve"> Sample Grouping. </w:t>
      </w:r>
      <w:r>
        <w:rPr>
          <w:lang w:val="en-GB"/>
        </w:rPr>
        <w:t xml:space="preserve">In such a </w:t>
      </w:r>
      <w:r w:rsidR="00F94F93">
        <w:rPr>
          <w:lang w:val="en-GB"/>
        </w:rPr>
        <w:t xml:space="preserve">design </w:t>
      </w:r>
      <w:r w:rsidR="00D217D7">
        <w:rPr>
          <w:lang w:val="en-GB"/>
        </w:rPr>
        <w:t xml:space="preserve">rarely changing Patch Data Group Units </w:t>
      </w:r>
      <w:r>
        <w:rPr>
          <w:lang w:val="en-GB"/>
        </w:rPr>
        <w:t xml:space="preserve">are stored </w:t>
      </w:r>
      <w:r w:rsidR="00D217D7">
        <w:rPr>
          <w:lang w:val="en-GB"/>
        </w:rPr>
        <w:t>in Sample Groups</w:t>
      </w:r>
      <w:r w:rsidR="00A7559B">
        <w:rPr>
          <w:lang w:val="en-GB"/>
        </w:rPr>
        <w:t>, thus avoiding replication at each intra period</w:t>
      </w:r>
      <w:r w:rsidR="00D217D7">
        <w:rPr>
          <w:lang w:val="en-GB"/>
        </w:rPr>
        <w:t>.</w:t>
      </w:r>
      <w:bookmarkStart w:id="1" w:name="_Hlk12950368"/>
      <w:r w:rsidR="002D6AB3">
        <w:rPr>
          <w:lang w:val="en-GB"/>
        </w:rPr>
        <w:t xml:space="preserve"> </w:t>
      </w:r>
      <w:bookmarkEnd w:id="1"/>
      <w:r w:rsidR="002D6AB3">
        <w:rPr>
          <w:lang w:val="en-GB"/>
        </w:rPr>
        <w:t>Sample Grouping mechanism is not a new concept for ISOBMFF</w:t>
      </w:r>
      <w:r w:rsidR="00A7559B" w:rsidRPr="005E5A42">
        <w:rPr>
          <w:lang w:val="en-GB"/>
        </w:rPr>
        <w:t>.</w:t>
      </w:r>
      <w:r w:rsidR="009A0609" w:rsidRPr="005E5A42">
        <w:rPr>
          <w:lang w:val="en-GB"/>
        </w:rPr>
        <w:t xml:space="preserve"> </w:t>
      </w:r>
      <w:r w:rsidR="00A7559B" w:rsidRPr="005E5A42">
        <w:rPr>
          <w:lang w:val="en-GB"/>
        </w:rPr>
        <w:t xml:space="preserve">For </w:t>
      </w:r>
      <w:r w:rsidR="00AA2F23" w:rsidRPr="005E5A42">
        <w:rPr>
          <w:lang w:val="en-GB"/>
        </w:rPr>
        <w:t xml:space="preserve">making an informed decision on </w:t>
      </w:r>
      <w:r w:rsidR="007E0E74" w:rsidRPr="005E5A42">
        <w:rPr>
          <w:lang w:val="en-GB"/>
        </w:rPr>
        <w:t xml:space="preserve">how to best handle </w:t>
      </w:r>
      <w:r w:rsidR="00AA2F23" w:rsidRPr="005E5A42">
        <w:rPr>
          <w:lang w:val="en-GB"/>
        </w:rPr>
        <w:t xml:space="preserve">random access </w:t>
      </w:r>
      <w:r w:rsidR="007E0E74" w:rsidRPr="005E5A42">
        <w:rPr>
          <w:lang w:val="en-GB"/>
        </w:rPr>
        <w:t>in the context of V-PCC</w:t>
      </w:r>
      <w:r w:rsidR="00A7559B" w:rsidRPr="005E5A42">
        <w:rPr>
          <w:lang w:val="en-GB"/>
        </w:rPr>
        <w:t>, a better understanding o</w:t>
      </w:r>
      <w:r w:rsidR="008D11DB" w:rsidRPr="005E5A42">
        <w:rPr>
          <w:lang w:val="en-GB"/>
        </w:rPr>
        <w:t>n the need and use of different Patch Data Group Un</w:t>
      </w:r>
      <w:r w:rsidR="008D11DB">
        <w:rPr>
          <w:lang w:val="en-GB"/>
        </w:rPr>
        <w:t>it Types is required.</w:t>
      </w:r>
    </w:p>
    <w:p w14:paraId="3989BFFC" w14:textId="366600C4" w:rsidR="007F7ECC" w:rsidRDefault="7D4E514A" w:rsidP="00F635ED">
      <w:pPr>
        <w:pStyle w:val="Heading1"/>
        <w:rPr>
          <w:lang w:val="en-GB"/>
        </w:rPr>
      </w:pPr>
      <w:r w:rsidRPr="7D4E514A">
        <w:rPr>
          <w:lang w:val="en-GB"/>
        </w:rPr>
        <w:t>Proposal</w:t>
      </w:r>
    </w:p>
    <w:p w14:paraId="30EE4348" w14:textId="073B1190" w:rsidR="00C61AD1" w:rsidRDefault="00C61AD1" w:rsidP="00C61AD1">
      <w:pPr>
        <w:rPr>
          <w:lang w:val="en-GB"/>
        </w:rPr>
      </w:pPr>
      <w:r>
        <w:rPr>
          <w:lang w:val="en-GB"/>
        </w:rPr>
        <w:t>During the Ad Hoc Group meeting in Palo Alto, it was discussed that not all Patch Data Group</w:t>
      </w:r>
      <w:r w:rsidR="001D6292">
        <w:rPr>
          <w:lang w:val="en-GB"/>
        </w:rPr>
        <w:t xml:space="preserve"> (PDG)</w:t>
      </w:r>
      <w:r>
        <w:rPr>
          <w:lang w:val="en-GB"/>
        </w:rPr>
        <w:t xml:space="preserve"> </w:t>
      </w:r>
      <w:r w:rsidR="001D6292">
        <w:rPr>
          <w:lang w:val="en-GB"/>
        </w:rPr>
        <w:t>u</w:t>
      </w:r>
      <w:r>
        <w:rPr>
          <w:lang w:val="en-GB"/>
        </w:rPr>
        <w:t xml:space="preserve">nit </w:t>
      </w:r>
      <w:r w:rsidR="001D6292">
        <w:rPr>
          <w:lang w:val="en-GB"/>
        </w:rPr>
        <w:t>t</w:t>
      </w:r>
      <w:r>
        <w:rPr>
          <w:lang w:val="en-GB"/>
        </w:rPr>
        <w:t xml:space="preserve">ypes would necessarily </w:t>
      </w:r>
      <w:r w:rsidR="001D6292">
        <w:rPr>
          <w:lang w:val="en-GB"/>
        </w:rPr>
        <w:t xml:space="preserve">be </w:t>
      </w:r>
      <w:r>
        <w:rPr>
          <w:lang w:val="en-GB"/>
        </w:rPr>
        <w:t>needed</w:t>
      </w:r>
      <w:r w:rsidR="00B52754">
        <w:rPr>
          <w:lang w:val="en-GB"/>
        </w:rPr>
        <w:t xml:space="preserve"> as they generate challenges for ISOBMFF encapsulation and complicate the overall V-PCC specification. Also within the group there were uncertainties on the actual use of some PDG </w:t>
      </w:r>
      <w:r w:rsidR="001D6292">
        <w:rPr>
          <w:lang w:val="en-GB"/>
        </w:rPr>
        <w:t>u</w:t>
      </w:r>
      <w:r w:rsidR="00B52754">
        <w:rPr>
          <w:lang w:val="en-GB"/>
        </w:rPr>
        <w:t xml:space="preserve">nit </w:t>
      </w:r>
      <w:r w:rsidR="001D6292">
        <w:rPr>
          <w:lang w:val="en-GB"/>
        </w:rPr>
        <w:t>t</w:t>
      </w:r>
      <w:r w:rsidR="00B52754">
        <w:rPr>
          <w:lang w:val="en-GB"/>
        </w:rPr>
        <w:t>ypes</w:t>
      </w:r>
      <w:r>
        <w:rPr>
          <w:lang w:val="en-GB"/>
        </w:rPr>
        <w:t>. As such</w:t>
      </w:r>
      <w:r w:rsidR="001D6292">
        <w:rPr>
          <w:lang w:val="en-GB"/>
        </w:rPr>
        <w:t>,</w:t>
      </w:r>
      <w:r>
        <w:rPr>
          <w:lang w:val="en-GB"/>
        </w:rPr>
        <w:t xml:space="preserve"> it was requested that this topic </w:t>
      </w:r>
      <w:r w:rsidR="001D6292">
        <w:rPr>
          <w:lang w:val="en-GB"/>
        </w:rPr>
        <w:t>is</w:t>
      </w:r>
      <w:r>
        <w:rPr>
          <w:lang w:val="en-GB"/>
        </w:rPr>
        <w:t xml:space="preserve"> raised for discussion in the next MPEG 3DG meeting in Göteborg. </w:t>
      </w:r>
    </w:p>
    <w:p w14:paraId="113FCEB2" w14:textId="77777777" w:rsidR="00C61AD1" w:rsidRPr="00C61AD1" w:rsidRDefault="00C61AD1" w:rsidP="00C61AD1">
      <w:pPr>
        <w:rPr>
          <w:lang w:val="en-GB"/>
        </w:rPr>
      </w:pPr>
    </w:p>
    <w:p w14:paraId="03ABE144" w14:textId="0787E8DB" w:rsidR="7D4E514A" w:rsidRDefault="00280D0A" w:rsidP="00280D0A">
      <w:pPr>
        <w:pStyle w:val="ListParagraph"/>
        <w:numPr>
          <w:ilvl w:val="0"/>
          <w:numId w:val="17"/>
        </w:numPr>
        <w:rPr>
          <w:lang w:val="en-GB"/>
        </w:rPr>
      </w:pPr>
      <w:r w:rsidRPr="005E5A42">
        <w:rPr>
          <w:lang w:val="en-GB"/>
        </w:rPr>
        <w:t xml:space="preserve">Discuss the need for different </w:t>
      </w:r>
      <w:r w:rsidR="001D6292" w:rsidRPr="005E5A42">
        <w:rPr>
          <w:lang w:val="en-GB"/>
        </w:rPr>
        <w:t>PDG</w:t>
      </w:r>
      <w:r w:rsidRPr="005E5A42">
        <w:rPr>
          <w:lang w:val="en-GB"/>
        </w:rPr>
        <w:t xml:space="preserve"> </w:t>
      </w:r>
      <w:r w:rsidR="001D6292" w:rsidRPr="005E5A42">
        <w:rPr>
          <w:lang w:val="en-GB"/>
        </w:rPr>
        <w:t>u</w:t>
      </w:r>
      <w:r w:rsidRPr="005E5A42">
        <w:rPr>
          <w:lang w:val="en-GB"/>
        </w:rPr>
        <w:t xml:space="preserve">nit </w:t>
      </w:r>
      <w:r w:rsidR="001D6292" w:rsidRPr="005E5A42">
        <w:rPr>
          <w:lang w:val="en-GB"/>
        </w:rPr>
        <w:t>t</w:t>
      </w:r>
      <w:r w:rsidRPr="005E5A42">
        <w:rPr>
          <w:lang w:val="en-GB"/>
        </w:rPr>
        <w:t>ypes</w:t>
      </w:r>
      <w:r w:rsidR="00BB10F4">
        <w:rPr>
          <w:lang w:val="en-GB"/>
        </w:rPr>
        <w:t>.</w:t>
      </w:r>
    </w:p>
    <w:p w14:paraId="3BF99DBF" w14:textId="6AF6C099" w:rsidR="00B54783" w:rsidRPr="005E5A42" w:rsidRDefault="005E5A42" w:rsidP="005E5A42">
      <w:pPr>
        <w:pStyle w:val="ListParagraph"/>
        <w:numPr>
          <w:ilvl w:val="0"/>
          <w:numId w:val="17"/>
        </w:numPr>
        <w:rPr>
          <w:lang w:val="en-GB"/>
        </w:rPr>
      </w:pPr>
      <w:r w:rsidRPr="005E5A42">
        <w:rPr>
          <w:lang w:val="en-GB"/>
        </w:rPr>
        <w:t xml:space="preserve">Define and </w:t>
      </w:r>
      <w:r w:rsidR="002D6AB3" w:rsidRPr="005E5A42">
        <w:rPr>
          <w:lang w:val="en-GB"/>
        </w:rPr>
        <w:t>describe</w:t>
      </w:r>
      <w:r w:rsidRPr="005E5A42">
        <w:rPr>
          <w:lang w:val="en-GB"/>
        </w:rPr>
        <w:t xml:space="preserve"> the concept of a V-PCC patch access unit.</w:t>
      </w:r>
    </w:p>
    <w:p w14:paraId="5E7D7DC2" w14:textId="397CAC13" w:rsidR="00E40F4F" w:rsidRPr="00C61AD1" w:rsidRDefault="00F94F93" w:rsidP="00E40F4F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Provide further information on expected</w:t>
      </w:r>
      <w:r w:rsidR="00F2475E">
        <w:rPr>
          <w:lang w:val="en-GB"/>
        </w:rPr>
        <w:t xml:space="preserve"> usage and</w:t>
      </w:r>
      <w:r>
        <w:rPr>
          <w:lang w:val="en-GB"/>
        </w:rPr>
        <w:t xml:space="preserve"> </w:t>
      </w:r>
      <w:r w:rsidR="001D6292">
        <w:rPr>
          <w:lang w:val="en-GB"/>
        </w:rPr>
        <w:t xml:space="preserve">the </w:t>
      </w:r>
      <w:r>
        <w:rPr>
          <w:lang w:val="en-GB"/>
        </w:rPr>
        <w:t xml:space="preserve">update frequencies of each </w:t>
      </w:r>
      <w:r w:rsidR="001D6292" w:rsidRPr="005E5A42">
        <w:rPr>
          <w:lang w:val="en-GB"/>
        </w:rPr>
        <w:t>PDG unit</w:t>
      </w:r>
      <w:r w:rsidR="001D6292">
        <w:rPr>
          <w:lang w:val="en-GB"/>
        </w:rPr>
        <w:t xml:space="preserve"> </w:t>
      </w:r>
      <w:r>
        <w:rPr>
          <w:lang w:val="en-GB"/>
        </w:rPr>
        <w:t>type</w:t>
      </w:r>
      <w:r w:rsidR="001D6292">
        <w:rPr>
          <w:lang w:val="en-GB"/>
        </w:rPr>
        <w:t>.</w:t>
      </w:r>
    </w:p>
    <w:p w14:paraId="10C03785" w14:textId="3D91A362" w:rsidR="004E7B21" w:rsidRPr="00192A9E" w:rsidRDefault="7D4E514A" w:rsidP="00192A9E">
      <w:pPr>
        <w:pStyle w:val="Heading1"/>
        <w:rPr>
          <w:lang w:val="en-GB"/>
        </w:rPr>
      </w:pPr>
      <w:r w:rsidRPr="7D4E514A">
        <w:rPr>
          <w:lang w:val="en-GB"/>
        </w:rPr>
        <w:lastRenderedPageBreak/>
        <w:t>References</w:t>
      </w:r>
    </w:p>
    <w:p w14:paraId="4E43B4EB" w14:textId="47D64F11" w:rsidR="0016283F" w:rsidRDefault="004E7B21" w:rsidP="005E5A42">
      <w:pPr>
        <w:pStyle w:val="ListParagraph"/>
        <w:numPr>
          <w:ilvl w:val="0"/>
          <w:numId w:val="18"/>
        </w:numPr>
        <w:tabs>
          <w:tab w:val="left" w:pos="720"/>
        </w:tabs>
      </w:pPr>
      <w:bookmarkStart w:id="2" w:name="_Ref12885839"/>
      <w:r w:rsidRPr="00DE4918">
        <w:t>N18180, Study Text for ISO/IEC 23090-5:2019 CD “Information technology — Coded Representation of Immersive Media — Part 5: Video-based Point Cloud Compression”, MPEG#125, Marrake</w:t>
      </w:r>
      <w:r w:rsidR="0016283F">
        <w:t>ch</w:t>
      </w:r>
      <w:r w:rsidRPr="00DE4918">
        <w:t xml:space="preserve">, Morocco, </w:t>
      </w:r>
      <w:r w:rsidR="0016283F">
        <w:t xml:space="preserve">Jan, </w:t>
      </w:r>
      <w:r w:rsidRPr="00DE4918">
        <w:t>2019</w:t>
      </w:r>
      <w:r w:rsidR="0016283F">
        <w:t>.</w:t>
      </w:r>
      <w:bookmarkEnd w:id="2"/>
    </w:p>
    <w:p w14:paraId="54315296" w14:textId="271F209E" w:rsidR="0016283F" w:rsidRPr="0068332A" w:rsidRDefault="00E40F4F" w:rsidP="005E5A42">
      <w:pPr>
        <w:pStyle w:val="ListParagraph"/>
        <w:numPr>
          <w:ilvl w:val="0"/>
          <w:numId w:val="18"/>
        </w:numPr>
        <w:tabs>
          <w:tab w:val="left" w:pos="720"/>
        </w:tabs>
        <w:rPr>
          <w:rStyle w:val="normaltextrun"/>
          <w:color w:val="000000"/>
          <w:shd w:val="clear" w:color="auto" w:fill="FFFFFF"/>
        </w:rPr>
      </w:pPr>
      <w:bookmarkStart w:id="3" w:name="_Ref12884844"/>
      <w:r w:rsidRPr="0068332A">
        <w:rPr>
          <w:rStyle w:val="normaltextrun"/>
          <w:color w:val="000000"/>
          <w:shd w:val="clear" w:color="auto" w:fill="FFFFFF"/>
        </w:rPr>
        <w:t>W18413,</w:t>
      </w:r>
      <w:r w:rsidR="00133FD7">
        <w:rPr>
          <w:lang w:eastAsia="ko-KR"/>
        </w:rPr>
        <w:t xml:space="preserve"> “</w:t>
      </w:r>
      <w:r w:rsidR="00133FD7" w:rsidRPr="00133FD7">
        <w:rPr>
          <w:lang w:eastAsia="ko-KR"/>
        </w:rPr>
        <w:t xml:space="preserve">Information technology — Coded representation of immersive media— Part 10: </w:t>
      </w:r>
      <w:r w:rsidRPr="0068332A">
        <w:rPr>
          <w:rStyle w:val="normaltextrun"/>
          <w:color w:val="000000"/>
          <w:shd w:val="clear" w:color="auto" w:fill="FFFFFF"/>
        </w:rPr>
        <w:t>WD of ISO/IEC 23090-10 Carriage of PC data”, MPEG #126, Geneva, </w:t>
      </w:r>
      <w:r w:rsidRPr="0068332A">
        <w:rPr>
          <w:rStyle w:val="contextualspellingandgrammarerror"/>
          <w:color w:val="000000"/>
          <w:shd w:val="clear" w:color="auto" w:fill="FFFFFF"/>
        </w:rPr>
        <w:t>Mar,</w:t>
      </w:r>
      <w:r w:rsidRPr="0068332A">
        <w:rPr>
          <w:rStyle w:val="normaltextrun"/>
          <w:color w:val="000000"/>
          <w:shd w:val="clear" w:color="auto" w:fill="FFFFFF"/>
        </w:rPr>
        <w:t> 2019.</w:t>
      </w:r>
      <w:bookmarkEnd w:id="3"/>
    </w:p>
    <w:p w14:paraId="12DE2838" w14:textId="0E40128E" w:rsidR="006D12FB" w:rsidRPr="0068332A" w:rsidRDefault="006D12FB" w:rsidP="005E5A42">
      <w:pPr>
        <w:pStyle w:val="ListParagraph"/>
        <w:numPr>
          <w:ilvl w:val="0"/>
          <w:numId w:val="18"/>
        </w:numPr>
        <w:tabs>
          <w:tab w:val="left" w:pos="720"/>
        </w:tabs>
        <w:rPr>
          <w:lang w:val="en-GB"/>
        </w:rPr>
      </w:pPr>
      <w:bookmarkStart w:id="4" w:name="_Ref12884817"/>
      <w:r w:rsidRPr="0068332A">
        <w:rPr>
          <w:lang w:val="en-GB"/>
        </w:rPr>
        <w:t>M48112, “On random access of ISOBMFF encapsulated V-PCC”, MPEG-I Systems &amp; 3DG AHG, Palo Alto, USA, June 2019.</w:t>
      </w:r>
      <w:bookmarkEnd w:id="4"/>
    </w:p>
    <w:p w14:paraId="265750E9" w14:textId="77777777" w:rsidR="006D12FB" w:rsidRPr="006D12FB" w:rsidRDefault="006D12FB" w:rsidP="004E7B21">
      <w:pPr>
        <w:tabs>
          <w:tab w:val="left" w:pos="663"/>
        </w:tabs>
        <w:ind w:left="663" w:hanging="663"/>
        <w:rPr>
          <w:lang w:val="en-GB" w:eastAsia="ko-KR"/>
        </w:rPr>
      </w:pPr>
    </w:p>
    <w:p w14:paraId="13B18B87" w14:textId="5DD99217" w:rsidR="006D213C" w:rsidRPr="0016283F" w:rsidRDefault="006D213C" w:rsidP="006D213C">
      <w:pPr>
        <w:jc w:val="left"/>
      </w:pPr>
    </w:p>
    <w:p w14:paraId="13573011" w14:textId="77777777" w:rsidR="006D213C" w:rsidRPr="00865901" w:rsidRDefault="006D213C" w:rsidP="00803237">
      <w:pPr>
        <w:jc w:val="left"/>
        <w:rPr>
          <w:lang w:val="en-GB"/>
        </w:rPr>
      </w:pPr>
    </w:p>
    <w:sectPr w:rsidR="006D213C" w:rsidRPr="00865901" w:rsidSect="00922343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639B6" w14:textId="77777777" w:rsidR="0076139C" w:rsidRDefault="0076139C" w:rsidP="005F664D">
      <w:r>
        <w:separator/>
      </w:r>
    </w:p>
  </w:endnote>
  <w:endnote w:type="continuationSeparator" w:id="0">
    <w:p w14:paraId="15643FE4" w14:textId="77777777" w:rsidR="0076139C" w:rsidRDefault="0076139C" w:rsidP="005F664D">
      <w:r>
        <w:continuationSeparator/>
      </w:r>
    </w:p>
  </w:endnote>
  <w:endnote w:type="continuationNotice" w:id="1">
    <w:p w14:paraId="4253BC17" w14:textId="77777777" w:rsidR="0076139C" w:rsidRDefault="007613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EAD16" w14:textId="77777777" w:rsidR="0076139C" w:rsidRDefault="0076139C" w:rsidP="005F664D">
      <w:r>
        <w:separator/>
      </w:r>
    </w:p>
  </w:footnote>
  <w:footnote w:type="continuationSeparator" w:id="0">
    <w:p w14:paraId="4F08109D" w14:textId="77777777" w:rsidR="0076139C" w:rsidRDefault="0076139C" w:rsidP="005F664D">
      <w:r>
        <w:continuationSeparator/>
      </w:r>
    </w:p>
  </w:footnote>
  <w:footnote w:type="continuationNotice" w:id="1">
    <w:p w14:paraId="4F53CCD7" w14:textId="77777777" w:rsidR="0076139C" w:rsidRDefault="007613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50EB"/>
    <w:multiLevelType w:val="hybridMultilevel"/>
    <w:tmpl w:val="41385A24"/>
    <w:lvl w:ilvl="0" w:tplc="C6123BC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036"/>
    <w:multiLevelType w:val="hybridMultilevel"/>
    <w:tmpl w:val="6EBED75A"/>
    <w:lvl w:ilvl="0" w:tplc="45AEB44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4398"/>
    <w:multiLevelType w:val="hybridMultilevel"/>
    <w:tmpl w:val="B3EAAA2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C590D"/>
    <w:multiLevelType w:val="hybridMultilevel"/>
    <w:tmpl w:val="6E10C060"/>
    <w:lvl w:ilvl="0" w:tplc="BF769E6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D2436"/>
    <w:multiLevelType w:val="hybridMultilevel"/>
    <w:tmpl w:val="538CA450"/>
    <w:lvl w:ilvl="0" w:tplc="FDA2E69A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840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AF3996"/>
    <w:multiLevelType w:val="hybridMultilevel"/>
    <w:tmpl w:val="EC5C171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200BE"/>
    <w:multiLevelType w:val="hybridMultilevel"/>
    <w:tmpl w:val="4A4EFB36"/>
    <w:lvl w:ilvl="0" w:tplc="723A7490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7E65"/>
    <w:multiLevelType w:val="hybridMultilevel"/>
    <w:tmpl w:val="66400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E1550"/>
    <w:multiLevelType w:val="hybridMultilevel"/>
    <w:tmpl w:val="95068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40A88"/>
    <w:multiLevelType w:val="hybridMultilevel"/>
    <w:tmpl w:val="6220FC8E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3325FF"/>
    <w:multiLevelType w:val="hybridMultilevel"/>
    <w:tmpl w:val="9A3A25C2"/>
    <w:lvl w:ilvl="0" w:tplc="8B1656C8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A4B"/>
    <w:multiLevelType w:val="hybridMultilevel"/>
    <w:tmpl w:val="33FC9646"/>
    <w:lvl w:ilvl="0" w:tplc="3FE467A6">
      <w:start w:val="1"/>
      <w:numFmt w:val="bullet"/>
      <w:lvlText w:val="−"/>
      <w:lvlJc w:val="left"/>
      <w:pPr>
        <w:ind w:left="420" w:hanging="420"/>
      </w:pPr>
      <w:rPr>
        <w:rFonts w:ascii="Microsoft YaHei" w:eastAsia="Microsoft YaHei" w:hAnsi="Microsoft YaHe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21E70CF"/>
    <w:multiLevelType w:val="hybridMultilevel"/>
    <w:tmpl w:val="EBEE98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5371D0"/>
    <w:multiLevelType w:val="hybridMultilevel"/>
    <w:tmpl w:val="2C8EA396"/>
    <w:lvl w:ilvl="0" w:tplc="040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5A34068"/>
    <w:multiLevelType w:val="multilevel"/>
    <w:tmpl w:val="197E446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943526E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5"/>
  </w:num>
  <w:num w:numId="5">
    <w:abstractNumId w:val="16"/>
  </w:num>
  <w:num w:numId="6">
    <w:abstractNumId w:val="3"/>
  </w:num>
  <w:num w:numId="7">
    <w:abstractNumId w:val="1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4"/>
  </w:num>
  <w:num w:numId="12">
    <w:abstractNumId w:val="12"/>
  </w:num>
  <w:num w:numId="13">
    <w:abstractNumId w:val="10"/>
  </w:num>
  <w:num w:numId="14">
    <w:abstractNumId w:val="6"/>
  </w:num>
  <w:num w:numId="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9D1"/>
    <w:rsid w:val="00000628"/>
    <w:rsid w:val="000012B9"/>
    <w:rsid w:val="00013655"/>
    <w:rsid w:val="00020169"/>
    <w:rsid w:val="0003203C"/>
    <w:rsid w:val="00046322"/>
    <w:rsid w:val="000548DD"/>
    <w:rsid w:val="00055CB9"/>
    <w:rsid w:val="000610CC"/>
    <w:rsid w:val="00061101"/>
    <w:rsid w:val="000655F6"/>
    <w:rsid w:val="00071BED"/>
    <w:rsid w:val="000922E3"/>
    <w:rsid w:val="000979A1"/>
    <w:rsid w:val="000A729F"/>
    <w:rsid w:val="000B427F"/>
    <w:rsid w:val="000C290D"/>
    <w:rsid w:val="000C4B2B"/>
    <w:rsid w:val="000E2FDC"/>
    <w:rsid w:val="000E4D1A"/>
    <w:rsid w:val="000E68DE"/>
    <w:rsid w:val="001120FF"/>
    <w:rsid w:val="00112419"/>
    <w:rsid w:val="00116E1A"/>
    <w:rsid w:val="00120353"/>
    <w:rsid w:val="00127B40"/>
    <w:rsid w:val="00131AE2"/>
    <w:rsid w:val="00133470"/>
    <w:rsid w:val="00133FD7"/>
    <w:rsid w:val="00137DB7"/>
    <w:rsid w:val="00143CEE"/>
    <w:rsid w:val="001526F9"/>
    <w:rsid w:val="00156865"/>
    <w:rsid w:val="00160336"/>
    <w:rsid w:val="0016283F"/>
    <w:rsid w:val="00165815"/>
    <w:rsid w:val="00167C6A"/>
    <w:rsid w:val="0017591D"/>
    <w:rsid w:val="00181B18"/>
    <w:rsid w:val="0018726D"/>
    <w:rsid w:val="00191F4B"/>
    <w:rsid w:val="00192856"/>
    <w:rsid w:val="00192A9E"/>
    <w:rsid w:val="0019500A"/>
    <w:rsid w:val="001A2D99"/>
    <w:rsid w:val="001A2E4D"/>
    <w:rsid w:val="001A3FF8"/>
    <w:rsid w:val="001A5E35"/>
    <w:rsid w:val="001B27AB"/>
    <w:rsid w:val="001C422B"/>
    <w:rsid w:val="001C6ECA"/>
    <w:rsid w:val="001D1E24"/>
    <w:rsid w:val="001D6292"/>
    <w:rsid w:val="001F1636"/>
    <w:rsid w:val="001F5099"/>
    <w:rsid w:val="002116D3"/>
    <w:rsid w:val="00211DFC"/>
    <w:rsid w:val="00215634"/>
    <w:rsid w:val="002216C9"/>
    <w:rsid w:val="002336D2"/>
    <w:rsid w:val="00236A65"/>
    <w:rsid w:val="002408DF"/>
    <w:rsid w:val="00246994"/>
    <w:rsid w:val="002506B0"/>
    <w:rsid w:val="0025140A"/>
    <w:rsid w:val="00271AB3"/>
    <w:rsid w:val="0027609E"/>
    <w:rsid w:val="00280D0A"/>
    <w:rsid w:val="002956BC"/>
    <w:rsid w:val="002970FA"/>
    <w:rsid w:val="002A5CB9"/>
    <w:rsid w:val="002B091C"/>
    <w:rsid w:val="002B3CCA"/>
    <w:rsid w:val="002B3E29"/>
    <w:rsid w:val="002C355C"/>
    <w:rsid w:val="002D2F2C"/>
    <w:rsid w:val="002D6AB3"/>
    <w:rsid w:val="002E1CF8"/>
    <w:rsid w:val="002E3D48"/>
    <w:rsid w:val="002E3DC7"/>
    <w:rsid w:val="002F2707"/>
    <w:rsid w:val="003023C8"/>
    <w:rsid w:val="0030294F"/>
    <w:rsid w:val="00306443"/>
    <w:rsid w:val="003104E8"/>
    <w:rsid w:val="00316E2B"/>
    <w:rsid w:val="00317A02"/>
    <w:rsid w:val="00320B24"/>
    <w:rsid w:val="003228AA"/>
    <w:rsid w:val="0033033C"/>
    <w:rsid w:val="003333BE"/>
    <w:rsid w:val="00334E93"/>
    <w:rsid w:val="00336B33"/>
    <w:rsid w:val="003426AE"/>
    <w:rsid w:val="00346C2B"/>
    <w:rsid w:val="003501B8"/>
    <w:rsid w:val="00351169"/>
    <w:rsid w:val="0036281C"/>
    <w:rsid w:val="00370CFB"/>
    <w:rsid w:val="003718B2"/>
    <w:rsid w:val="003827F9"/>
    <w:rsid w:val="00392B30"/>
    <w:rsid w:val="003947E6"/>
    <w:rsid w:val="00396E28"/>
    <w:rsid w:val="003A61D4"/>
    <w:rsid w:val="003A6B61"/>
    <w:rsid w:val="003C2A9B"/>
    <w:rsid w:val="003C7BD7"/>
    <w:rsid w:val="003D600D"/>
    <w:rsid w:val="003E3BBB"/>
    <w:rsid w:val="003F1F01"/>
    <w:rsid w:val="003F38AD"/>
    <w:rsid w:val="004121EC"/>
    <w:rsid w:val="004132AE"/>
    <w:rsid w:val="0041508B"/>
    <w:rsid w:val="00415322"/>
    <w:rsid w:val="00430106"/>
    <w:rsid w:val="004359BB"/>
    <w:rsid w:val="00440820"/>
    <w:rsid w:val="0044253D"/>
    <w:rsid w:val="004543AC"/>
    <w:rsid w:val="00454F87"/>
    <w:rsid w:val="00456061"/>
    <w:rsid w:val="00457FE4"/>
    <w:rsid w:val="00461B04"/>
    <w:rsid w:val="00462512"/>
    <w:rsid w:val="004640F4"/>
    <w:rsid w:val="0048271B"/>
    <w:rsid w:val="004853FC"/>
    <w:rsid w:val="00497E46"/>
    <w:rsid w:val="004A0052"/>
    <w:rsid w:val="004A54A5"/>
    <w:rsid w:val="004B1AD9"/>
    <w:rsid w:val="004D2CE0"/>
    <w:rsid w:val="004D5CA7"/>
    <w:rsid w:val="004D6DBD"/>
    <w:rsid w:val="004D6FF3"/>
    <w:rsid w:val="004E1851"/>
    <w:rsid w:val="004E4019"/>
    <w:rsid w:val="004E7B21"/>
    <w:rsid w:val="005076BC"/>
    <w:rsid w:val="005145E9"/>
    <w:rsid w:val="00514880"/>
    <w:rsid w:val="005209B4"/>
    <w:rsid w:val="005267A5"/>
    <w:rsid w:val="005309D1"/>
    <w:rsid w:val="00531279"/>
    <w:rsid w:val="0053635F"/>
    <w:rsid w:val="005472D8"/>
    <w:rsid w:val="005649DA"/>
    <w:rsid w:val="005828E6"/>
    <w:rsid w:val="0059625E"/>
    <w:rsid w:val="0059786D"/>
    <w:rsid w:val="005A1907"/>
    <w:rsid w:val="005A3732"/>
    <w:rsid w:val="005B22CD"/>
    <w:rsid w:val="005C0590"/>
    <w:rsid w:val="005C1FA0"/>
    <w:rsid w:val="005C7AC7"/>
    <w:rsid w:val="005D1406"/>
    <w:rsid w:val="005E4E30"/>
    <w:rsid w:val="005E5775"/>
    <w:rsid w:val="005E5A42"/>
    <w:rsid w:val="005F0990"/>
    <w:rsid w:val="005F21C9"/>
    <w:rsid w:val="005F2C96"/>
    <w:rsid w:val="005F664D"/>
    <w:rsid w:val="005F6B9E"/>
    <w:rsid w:val="005F7024"/>
    <w:rsid w:val="00607FCB"/>
    <w:rsid w:val="0061347E"/>
    <w:rsid w:val="00622D7A"/>
    <w:rsid w:val="006522ED"/>
    <w:rsid w:val="00670966"/>
    <w:rsid w:val="00674FFC"/>
    <w:rsid w:val="00677004"/>
    <w:rsid w:val="00682F19"/>
    <w:rsid w:val="0068332A"/>
    <w:rsid w:val="00692C92"/>
    <w:rsid w:val="0069317E"/>
    <w:rsid w:val="006979C4"/>
    <w:rsid w:val="006A3822"/>
    <w:rsid w:val="006B18BE"/>
    <w:rsid w:val="006C19D0"/>
    <w:rsid w:val="006D12FB"/>
    <w:rsid w:val="006D213C"/>
    <w:rsid w:val="006D226D"/>
    <w:rsid w:val="006E0AFF"/>
    <w:rsid w:val="006E2847"/>
    <w:rsid w:val="006E3A74"/>
    <w:rsid w:val="006F0F70"/>
    <w:rsid w:val="006F49B1"/>
    <w:rsid w:val="00700175"/>
    <w:rsid w:val="00705D16"/>
    <w:rsid w:val="00707FDE"/>
    <w:rsid w:val="00711CBD"/>
    <w:rsid w:val="00712F11"/>
    <w:rsid w:val="007133B0"/>
    <w:rsid w:val="00721A09"/>
    <w:rsid w:val="00721B16"/>
    <w:rsid w:val="0073287B"/>
    <w:rsid w:val="00737C69"/>
    <w:rsid w:val="0076139C"/>
    <w:rsid w:val="00787630"/>
    <w:rsid w:val="00793DC7"/>
    <w:rsid w:val="007A13F3"/>
    <w:rsid w:val="007A43F9"/>
    <w:rsid w:val="007A4BC2"/>
    <w:rsid w:val="007B30B5"/>
    <w:rsid w:val="007B401A"/>
    <w:rsid w:val="007C3BC2"/>
    <w:rsid w:val="007C6C94"/>
    <w:rsid w:val="007D363F"/>
    <w:rsid w:val="007E0C74"/>
    <w:rsid w:val="007E0E74"/>
    <w:rsid w:val="007E4BA0"/>
    <w:rsid w:val="007E7DA3"/>
    <w:rsid w:val="007F2E8E"/>
    <w:rsid w:val="007F3776"/>
    <w:rsid w:val="007F7ECC"/>
    <w:rsid w:val="00802BD4"/>
    <w:rsid w:val="00803237"/>
    <w:rsid w:val="00814F0A"/>
    <w:rsid w:val="008177B8"/>
    <w:rsid w:val="008227EF"/>
    <w:rsid w:val="00824CD1"/>
    <w:rsid w:val="008366BF"/>
    <w:rsid w:val="008632DD"/>
    <w:rsid w:val="00863726"/>
    <w:rsid w:val="0086462A"/>
    <w:rsid w:val="00864C1C"/>
    <w:rsid w:val="00865901"/>
    <w:rsid w:val="00865E14"/>
    <w:rsid w:val="008661C8"/>
    <w:rsid w:val="00873042"/>
    <w:rsid w:val="008737BE"/>
    <w:rsid w:val="008A0D3E"/>
    <w:rsid w:val="008A641E"/>
    <w:rsid w:val="008A6923"/>
    <w:rsid w:val="008A7233"/>
    <w:rsid w:val="008B2053"/>
    <w:rsid w:val="008C4A13"/>
    <w:rsid w:val="008C7F04"/>
    <w:rsid w:val="008C7FDE"/>
    <w:rsid w:val="008D11DB"/>
    <w:rsid w:val="008F3EC5"/>
    <w:rsid w:val="008F57B6"/>
    <w:rsid w:val="0090578C"/>
    <w:rsid w:val="0091386B"/>
    <w:rsid w:val="00913937"/>
    <w:rsid w:val="00916602"/>
    <w:rsid w:val="0092214F"/>
    <w:rsid w:val="00922343"/>
    <w:rsid w:val="00941BEA"/>
    <w:rsid w:val="009529A2"/>
    <w:rsid w:val="00955A6B"/>
    <w:rsid w:val="0096386C"/>
    <w:rsid w:val="00963DB3"/>
    <w:rsid w:val="00966AE0"/>
    <w:rsid w:val="00973523"/>
    <w:rsid w:val="00982598"/>
    <w:rsid w:val="00982F09"/>
    <w:rsid w:val="00985D37"/>
    <w:rsid w:val="00991DF0"/>
    <w:rsid w:val="009A0393"/>
    <w:rsid w:val="009A0609"/>
    <w:rsid w:val="009A2898"/>
    <w:rsid w:val="009B7078"/>
    <w:rsid w:val="009B7B10"/>
    <w:rsid w:val="00A06616"/>
    <w:rsid w:val="00A078F3"/>
    <w:rsid w:val="00A17E45"/>
    <w:rsid w:val="00A20D8F"/>
    <w:rsid w:val="00A30CD0"/>
    <w:rsid w:val="00A348EC"/>
    <w:rsid w:val="00A36C70"/>
    <w:rsid w:val="00A447A9"/>
    <w:rsid w:val="00A452F8"/>
    <w:rsid w:val="00A502B0"/>
    <w:rsid w:val="00A51180"/>
    <w:rsid w:val="00A511BF"/>
    <w:rsid w:val="00A56766"/>
    <w:rsid w:val="00A616ED"/>
    <w:rsid w:val="00A61DD8"/>
    <w:rsid w:val="00A62CD4"/>
    <w:rsid w:val="00A7097A"/>
    <w:rsid w:val="00A74926"/>
    <w:rsid w:val="00A7559B"/>
    <w:rsid w:val="00A829E8"/>
    <w:rsid w:val="00A83B6F"/>
    <w:rsid w:val="00A93D10"/>
    <w:rsid w:val="00A95EE9"/>
    <w:rsid w:val="00AA2F23"/>
    <w:rsid w:val="00AB2221"/>
    <w:rsid w:val="00AB3CEB"/>
    <w:rsid w:val="00AB765E"/>
    <w:rsid w:val="00AC2114"/>
    <w:rsid w:val="00AD086E"/>
    <w:rsid w:val="00AD3A5F"/>
    <w:rsid w:val="00AE6107"/>
    <w:rsid w:val="00AF5B52"/>
    <w:rsid w:val="00B20A0F"/>
    <w:rsid w:val="00B333B0"/>
    <w:rsid w:val="00B43239"/>
    <w:rsid w:val="00B43ACA"/>
    <w:rsid w:val="00B52754"/>
    <w:rsid w:val="00B54783"/>
    <w:rsid w:val="00B5498D"/>
    <w:rsid w:val="00B655F0"/>
    <w:rsid w:val="00B666C5"/>
    <w:rsid w:val="00B7751F"/>
    <w:rsid w:val="00B81DDD"/>
    <w:rsid w:val="00B90B41"/>
    <w:rsid w:val="00BA5EBA"/>
    <w:rsid w:val="00BB10F4"/>
    <w:rsid w:val="00BB2A5F"/>
    <w:rsid w:val="00BC347A"/>
    <w:rsid w:val="00BC3D95"/>
    <w:rsid w:val="00BF289B"/>
    <w:rsid w:val="00BF3CA3"/>
    <w:rsid w:val="00BF7A73"/>
    <w:rsid w:val="00C4260A"/>
    <w:rsid w:val="00C45B3F"/>
    <w:rsid w:val="00C61AD1"/>
    <w:rsid w:val="00C62D59"/>
    <w:rsid w:val="00C74C56"/>
    <w:rsid w:val="00C759E0"/>
    <w:rsid w:val="00C8352F"/>
    <w:rsid w:val="00C84AB4"/>
    <w:rsid w:val="00C91916"/>
    <w:rsid w:val="00C9248E"/>
    <w:rsid w:val="00CA7DB9"/>
    <w:rsid w:val="00CB1190"/>
    <w:rsid w:val="00CB1579"/>
    <w:rsid w:val="00CB363E"/>
    <w:rsid w:val="00CC09B9"/>
    <w:rsid w:val="00CC5AF7"/>
    <w:rsid w:val="00CD2315"/>
    <w:rsid w:val="00CD29DC"/>
    <w:rsid w:val="00CE2CD6"/>
    <w:rsid w:val="00CE58CA"/>
    <w:rsid w:val="00CE6F62"/>
    <w:rsid w:val="00CF3517"/>
    <w:rsid w:val="00D010AB"/>
    <w:rsid w:val="00D03349"/>
    <w:rsid w:val="00D14EB5"/>
    <w:rsid w:val="00D177CD"/>
    <w:rsid w:val="00D2082A"/>
    <w:rsid w:val="00D217D7"/>
    <w:rsid w:val="00D325F5"/>
    <w:rsid w:val="00D423C0"/>
    <w:rsid w:val="00D51273"/>
    <w:rsid w:val="00D629F7"/>
    <w:rsid w:val="00D7040B"/>
    <w:rsid w:val="00D71762"/>
    <w:rsid w:val="00D75027"/>
    <w:rsid w:val="00D7788A"/>
    <w:rsid w:val="00D77CE9"/>
    <w:rsid w:val="00D8427D"/>
    <w:rsid w:val="00D97BE0"/>
    <w:rsid w:val="00DA1CAE"/>
    <w:rsid w:val="00DC07F8"/>
    <w:rsid w:val="00DC161F"/>
    <w:rsid w:val="00DC505B"/>
    <w:rsid w:val="00DE5AE3"/>
    <w:rsid w:val="00DF1CD6"/>
    <w:rsid w:val="00DF6883"/>
    <w:rsid w:val="00E041CD"/>
    <w:rsid w:val="00E1001F"/>
    <w:rsid w:val="00E214A1"/>
    <w:rsid w:val="00E21E78"/>
    <w:rsid w:val="00E326E2"/>
    <w:rsid w:val="00E33EDD"/>
    <w:rsid w:val="00E36A75"/>
    <w:rsid w:val="00E40F4F"/>
    <w:rsid w:val="00E43032"/>
    <w:rsid w:val="00E633A8"/>
    <w:rsid w:val="00E644FC"/>
    <w:rsid w:val="00E84547"/>
    <w:rsid w:val="00E949CE"/>
    <w:rsid w:val="00E952F1"/>
    <w:rsid w:val="00EA0B55"/>
    <w:rsid w:val="00EA107C"/>
    <w:rsid w:val="00EA399B"/>
    <w:rsid w:val="00EB3BF7"/>
    <w:rsid w:val="00EB5390"/>
    <w:rsid w:val="00EB54A2"/>
    <w:rsid w:val="00EE1AEF"/>
    <w:rsid w:val="00EF4389"/>
    <w:rsid w:val="00EF4DB9"/>
    <w:rsid w:val="00EF624B"/>
    <w:rsid w:val="00F00658"/>
    <w:rsid w:val="00F00BC0"/>
    <w:rsid w:val="00F06BDD"/>
    <w:rsid w:val="00F06CED"/>
    <w:rsid w:val="00F10697"/>
    <w:rsid w:val="00F17C35"/>
    <w:rsid w:val="00F2475E"/>
    <w:rsid w:val="00F357D1"/>
    <w:rsid w:val="00F40F45"/>
    <w:rsid w:val="00F53924"/>
    <w:rsid w:val="00F554E5"/>
    <w:rsid w:val="00F60F5E"/>
    <w:rsid w:val="00F635ED"/>
    <w:rsid w:val="00F642BC"/>
    <w:rsid w:val="00F64F77"/>
    <w:rsid w:val="00F74339"/>
    <w:rsid w:val="00F765A2"/>
    <w:rsid w:val="00F84DA9"/>
    <w:rsid w:val="00F8745E"/>
    <w:rsid w:val="00F9208A"/>
    <w:rsid w:val="00F93ED4"/>
    <w:rsid w:val="00F94F93"/>
    <w:rsid w:val="00FA6D14"/>
    <w:rsid w:val="00FB297A"/>
    <w:rsid w:val="00FB4752"/>
    <w:rsid w:val="00FC0277"/>
    <w:rsid w:val="00FC3981"/>
    <w:rsid w:val="00FC3B11"/>
    <w:rsid w:val="00FC48BC"/>
    <w:rsid w:val="00FD6B6C"/>
    <w:rsid w:val="00FE06B2"/>
    <w:rsid w:val="00FF03B3"/>
    <w:rsid w:val="00FF17F0"/>
    <w:rsid w:val="00FF216B"/>
    <w:rsid w:val="00FF45F4"/>
    <w:rsid w:val="00FF4D0A"/>
    <w:rsid w:val="06DD6DD5"/>
    <w:rsid w:val="09E11152"/>
    <w:rsid w:val="13168D3D"/>
    <w:rsid w:val="13DC5392"/>
    <w:rsid w:val="210A0629"/>
    <w:rsid w:val="2B9E7F05"/>
    <w:rsid w:val="2E1CA87A"/>
    <w:rsid w:val="2F3B7F66"/>
    <w:rsid w:val="32ED5716"/>
    <w:rsid w:val="383201A1"/>
    <w:rsid w:val="39A6177D"/>
    <w:rsid w:val="3E643325"/>
    <w:rsid w:val="473D3354"/>
    <w:rsid w:val="4C1A97E4"/>
    <w:rsid w:val="51BCCBD3"/>
    <w:rsid w:val="652A9FDF"/>
    <w:rsid w:val="68225B1C"/>
    <w:rsid w:val="70470080"/>
    <w:rsid w:val="78F5441B"/>
    <w:rsid w:val="7A70F12F"/>
    <w:rsid w:val="7B69C576"/>
    <w:rsid w:val="7B70FEF1"/>
    <w:rsid w:val="7CD56BB5"/>
    <w:rsid w:val="7D4E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6B31E"/>
  <w15:chartTrackingRefBased/>
  <w15:docId w15:val="{C6D0E32D-0078-B445-9FE5-632C53C6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09D1"/>
    <w:pPr>
      <w:jc w:val="both"/>
    </w:pPr>
    <w:rPr>
      <w:rFonts w:ascii="Times New Roman" w:eastAsia="MS Mincho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9D1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DO NOT USE_h2,título 2,Header 2,2nd level,Œ©o‚µ 2,?co??E 2,뙥2,?c1,?co?ƒÊ 2,?2,Œ©_o‚µ 2,?c_o??E 2,Titre 2,?c,Œ©1,Œ1,Œ2,Œ©2,2,Head2A,Break before,UNDERRUBRIK 1-2,level 2,Heading Two,Prophead 2,headi,heading2,h21,h22,21,Head 2,l2"/>
    <w:basedOn w:val="Normal"/>
    <w:next w:val="Normal"/>
    <w:link w:val="Heading2Char"/>
    <w:uiPriority w:val="9"/>
    <w:qFormat/>
    <w:rsid w:val="005309D1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"/>
    <w:basedOn w:val="Normal"/>
    <w:next w:val="Normal"/>
    <w:link w:val="Heading3Char"/>
    <w:uiPriority w:val="9"/>
    <w:qFormat/>
    <w:rsid w:val="005309D1"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Titre 4,Org Heading 2,Heading 4 Char1 Char,Heading 4 Char Char Char"/>
    <w:basedOn w:val="Normal"/>
    <w:next w:val="Normal"/>
    <w:link w:val="Heading4Char"/>
    <w:uiPriority w:val="9"/>
    <w:qFormat/>
    <w:rsid w:val="005309D1"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Titre 5,DO NOT USE_h5,Appendix A to X,Heading 5   Appendix A to X,5 sub-bullet,sb,4,Indent"/>
    <w:basedOn w:val="Normal"/>
    <w:next w:val="Normal"/>
    <w:link w:val="Heading5Char"/>
    <w:uiPriority w:val="9"/>
    <w:qFormat/>
    <w:rsid w:val="005309D1"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T1"/>
    <w:basedOn w:val="Normal"/>
    <w:next w:val="Normal"/>
    <w:link w:val="Heading6Char"/>
    <w:uiPriority w:val="9"/>
    <w:qFormat/>
    <w:rsid w:val="005309D1"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5309D1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rsid w:val="005309D1"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5309D1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9D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DO NOT USE_h2 Char,título 2 Char,Header 2 Char,2nd level Char,Œ©o‚µ 2 Char,?co??E 2 Char,뙥2 Char,?c1 Char,?co?ƒÊ 2 Char,?2 Char,Œ©_o‚µ 2 Char,?c_o??E 2 Char,Titre 2 Char,?c Char,Œ©1 Char,Œ1 Char,Œ2 Char,2 Char"/>
    <w:basedOn w:val="DefaultParagraphFont"/>
    <w:link w:val="Heading2"/>
    <w:uiPriority w:val="9"/>
    <w:rsid w:val="005309D1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"/>
    <w:basedOn w:val="DefaultParagraphFont"/>
    <w:link w:val="Heading3"/>
    <w:uiPriority w:val="9"/>
    <w:rsid w:val="005309D1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Titre 4 Char,Org Heading 2 Char,Heading 4 Char1 Char Char,Heading 4 Char Char Char Char"/>
    <w:basedOn w:val="DefaultParagraphFont"/>
    <w:link w:val="Heading4"/>
    <w:uiPriority w:val="9"/>
    <w:rsid w:val="005309D1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Titre 5 Char,DO NOT USE_h5 Char,Appendix A to X Char,Heading 5   Appendix A to X Char,5 sub-bullet Char,sb Char,4 Char,Indent Char"/>
    <w:basedOn w:val="DefaultParagraphFont"/>
    <w:link w:val="Heading5"/>
    <w:uiPriority w:val="9"/>
    <w:rsid w:val="005309D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T1 Char"/>
    <w:basedOn w:val="DefaultParagraphFont"/>
    <w:link w:val="Heading6"/>
    <w:uiPriority w:val="9"/>
    <w:rsid w:val="005309D1"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5309D1"/>
    <w:rPr>
      <w:rFonts w:ascii="Cambria" w:eastAsia="Times New Roman" w:hAnsi="Cambria" w:cs="Times New Roman"/>
    </w:rPr>
  </w:style>
  <w:style w:type="character" w:customStyle="1" w:styleId="Heading8Char">
    <w:name w:val="Heading 8 Char"/>
    <w:basedOn w:val="DefaultParagraphFont"/>
    <w:link w:val="Heading8"/>
    <w:uiPriority w:val="9"/>
    <w:rsid w:val="005309D1"/>
    <w:rPr>
      <w:rFonts w:ascii="Cambria" w:eastAsia="Times New Roman" w:hAnsi="Cambria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5309D1"/>
    <w:rPr>
      <w:rFonts w:ascii="Calibri" w:eastAsia="Times New Roman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E3B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D14E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4E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EB5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E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EB5"/>
    <w:rPr>
      <w:rFonts w:ascii="Times New Roman" w:eastAsia="MS Mincho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E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B5"/>
    <w:rPr>
      <w:rFonts w:ascii="Segoe UI" w:eastAsia="MS Mincho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16E2B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4E8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de">
    <w:name w:val="code"/>
    <w:basedOn w:val="Normal"/>
    <w:next w:val="Normal"/>
    <w:link w:val="codeZchn"/>
    <w:rsid w:val="00963DB3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963DB3"/>
    <w:rPr>
      <w:rFonts w:ascii="Courier" w:eastAsia="Times New Roman" w:hAnsi="Courier" w:cs="Times New Roman"/>
      <w:noProof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5901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F06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F06CE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3-Accent1">
    <w:name w:val="Grid Table 3 Accent 1"/>
    <w:basedOn w:val="TableNormal"/>
    <w:uiPriority w:val="48"/>
    <w:rsid w:val="00F06CED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3F38AD"/>
    <w:rPr>
      <w:rFonts w:ascii="Times New Roman" w:eastAsia="MS Mincho" w:hAnsi="Times New Roman" w:cs="Times New Roman"/>
      <w:kern w:val="2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63726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uiPriority w:val="99"/>
    <w:rsid w:val="00211DFC"/>
    <w:rPr>
      <w:rFonts w:asciiTheme="majorHAnsi" w:eastAsia="MS Mincho" w:hAnsiTheme="majorHAnsi" w:cs="Times New Roman"/>
      <w:kern w:val="0"/>
      <w:sz w:val="22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BA5EBA"/>
    <w:pPr>
      <w:tabs>
        <w:tab w:val="left" w:pos="1440"/>
        <w:tab w:val="left" w:pos="8010"/>
      </w:tabs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A5EBA"/>
    <w:rPr>
      <w:rFonts w:ascii="Cambria" w:eastAsia="Times New Roman" w:hAnsi="Cambria" w:cs="Times New Roman"/>
      <w:sz w:val="22"/>
      <w:szCs w:val="22"/>
      <w:lang w:val="en-GB"/>
    </w:rPr>
  </w:style>
  <w:style w:type="paragraph" w:customStyle="1" w:styleId="CodeAthens">
    <w:name w:val="Code Athens"/>
    <w:basedOn w:val="Normal"/>
    <w:link w:val="CodeAthensChar"/>
    <w:qFormat/>
    <w:rsid w:val="00BA5EBA"/>
    <w:pPr>
      <w:keepNext/>
      <w:keepLines/>
      <w:tabs>
        <w:tab w:val="left" w:pos="709"/>
      </w:tabs>
      <w:suppressAutoHyphens/>
      <w:autoSpaceDE w:val="0"/>
      <w:autoSpaceDN w:val="0"/>
      <w:adjustRightInd w:val="0"/>
      <w:spacing w:after="120"/>
      <w:ind w:left="720"/>
      <w:jc w:val="left"/>
    </w:pPr>
    <w:rPr>
      <w:rFonts w:ascii="Courier" w:hAnsi="Courier"/>
      <w:sz w:val="22"/>
      <w:lang w:val="en-GB" w:eastAsia="x-none"/>
    </w:rPr>
  </w:style>
  <w:style w:type="character" w:customStyle="1" w:styleId="CodeAthensChar">
    <w:name w:val="Code Athens Char"/>
    <w:link w:val="CodeAthens"/>
    <w:locked/>
    <w:rsid w:val="00BA5EBA"/>
    <w:rPr>
      <w:rFonts w:ascii="Courier" w:eastAsia="MS Mincho" w:hAnsi="Courier" w:cs="Times New Roman"/>
      <w:sz w:val="22"/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EB5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B5390"/>
    <w:rPr>
      <w:rFonts w:ascii="Times New Roman" w:eastAsia="MS Mincho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B5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B5390"/>
    <w:rPr>
      <w:rFonts w:ascii="Times New Roman" w:eastAsia="MS Mincho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40F4F"/>
  </w:style>
  <w:style w:type="character" w:customStyle="1" w:styleId="contextualspellingandgrammarerror">
    <w:name w:val="contextualspellingandgrammarerror"/>
    <w:basedOn w:val="DefaultParagraphFont"/>
    <w:rsid w:val="00E40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1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DF3C14-8702-4A69-8D21-7126BE14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615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Malamalvadakital Vinod (Nokia-TECH/Tampere)</dc:creator>
  <cp:keywords/>
  <dc:description/>
  <cp:lastModifiedBy>Ilola, Lauri (Nokia - FI/Tampere)</cp:lastModifiedBy>
  <cp:revision>8</cp:revision>
  <dcterms:created xsi:type="dcterms:W3CDTF">2019-07-02T06:20:00Z</dcterms:created>
  <dcterms:modified xsi:type="dcterms:W3CDTF">2019-07-03T06:08:00Z</dcterms:modified>
</cp:coreProperties>
</file>